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77B" w:rsidRDefault="00C3677B" w:rsidP="00961BB5">
      <w:pPr>
        <w:jc w:val="center"/>
      </w:pPr>
      <w:r>
        <w:t>USSAAC Letterhead</w:t>
      </w:r>
    </w:p>
    <w:p w:rsidR="00C3677B" w:rsidRDefault="00C3677B" w:rsidP="00E232B4">
      <w:pPr>
        <w:ind w:firstLine="720"/>
      </w:pPr>
    </w:p>
    <w:p w:rsidR="00C3677B" w:rsidRDefault="00C3677B" w:rsidP="00961BB5">
      <w:r>
        <w:t xml:space="preserve">May </w:t>
      </w:r>
      <w:r w:rsidR="00F61601">
        <w:t>20</w:t>
      </w:r>
      <w:r>
        <w:t>, 2014</w:t>
      </w:r>
    </w:p>
    <w:p w:rsidR="000B3850" w:rsidRDefault="000B3850" w:rsidP="00961BB5">
      <w:pPr>
        <w:spacing w:after="0" w:line="240" w:lineRule="auto"/>
      </w:pPr>
    </w:p>
    <w:p w:rsidR="00C3677B" w:rsidRDefault="00C3677B" w:rsidP="00961BB5">
      <w:pPr>
        <w:spacing w:after="0" w:line="240" w:lineRule="auto"/>
      </w:pPr>
      <w:r>
        <w:t xml:space="preserve">Mr. </w:t>
      </w:r>
      <w:proofErr w:type="spellStart"/>
      <w:r>
        <w:t>Laurance</w:t>
      </w:r>
      <w:proofErr w:type="spellEnd"/>
      <w:r>
        <w:t xml:space="preserve"> Wilson</w:t>
      </w:r>
    </w:p>
    <w:p w:rsidR="00C3677B" w:rsidRDefault="00C3677B" w:rsidP="00961BB5">
      <w:pPr>
        <w:spacing w:after="0" w:line="240" w:lineRule="auto"/>
      </w:pPr>
      <w:r>
        <w:t>Director, Chronic Care Policy Group</w:t>
      </w:r>
    </w:p>
    <w:p w:rsidR="00C3677B" w:rsidRDefault="00C3677B" w:rsidP="00961BB5">
      <w:pPr>
        <w:spacing w:after="0" w:line="240" w:lineRule="auto"/>
      </w:pPr>
      <w:r>
        <w:t>Centers for Medicare &amp; Medicaid Services</w:t>
      </w:r>
      <w:bookmarkStart w:id="0" w:name="_GoBack"/>
      <w:bookmarkEnd w:id="0"/>
    </w:p>
    <w:p w:rsidR="00C3677B" w:rsidRDefault="00C3677B" w:rsidP="00961BB5">
      <w:pPr>
        <w:spacing w:after="0" w:line="240" w:lineRule="auto"/>
      </w:pPr>
      <w:r>
        <w:t>7500 Security Boulevard</w:t>
      </w:r>
    </w:p>
    <w:p w:rsidR="00C3677B" w:rsidRDefault="00C3677B" w:rsidP="00961BB5">
      <w:pPr>
        <w:spacing w:after="0" w:line="240" w:lineRule="auto"/>
      </w:pPr>
      <w:r>
        <w:t>Mail Stop C5-02-23</w:t>
      </w:r>
    </w:p>
    <w:p w:rsidR="00C3677B" w:rsidRDefault="00C3677B" w:rsidP="00961BB5">
      <w:pPr>
        <w:spacing w:after="0" w:line="240" w:lineRule="auto"/>
      </w:pPr>
      <w:r>
        <w:t>Baltimore, Maryland 21244</w:t>
      </w:r>
    </w:p>
    <w:p w:rsidR="00C3677B" w:rsidRDefault="00C3677B" w:rsidP="00E232B4">
      <w:pPr>
        <w:ind w:firstLine="720"/>
      </w:pPr>
    </w:p>
    <w:p w:rsidR="00C3677B" w:rsidRPr="00961BB5" w:rsidRDefault="00C3677B" w:rsidP="00961BB5">
      <w:pPr>
        <w:spacing w:after="0" w:line="240" w:lineRule="auto"/>
        <w:ind w:firstLine="720"/>
        <w:rPr>
          <w:b/>
        </w:rPr>
      </w:pPr>
      <w:r w:rsidRPr="00961BB5">
        <w:rPr>
          <w:b/>
        </w:rPr>
        <w:t>RE:</w:t>
      </w:r>
      <w:r w:rsidRPr="00961BB5">
        <w:rPr>
          <w:b/>
        </w:rPr>
        <w:tab/>
        <w:t>Joint DME MAC Coverage Reminder –</w:t>
      </w:r>
    </w:p>
    <w:p w:rsidR="00C3677B" w:rsidRPr="00961BB5" w:rsidRDefault="00C3677B" w:rsidP="00961BB5">
      <w:pPr>
        <w:spacing w:after="0" w:line="240" w:lineRule="auto"/>
        <w:ind w:firstLine="720"/>
        <w:rPr>
          <w:b/>
        </w:rPr>
      </w:pPr>
      <w:r w:rsidRPr="00961BB5">
        <w:rPr>
          <w:b/>
        </w:rPr>
        <w:tab/>
        <w:t>Speech Generating Devices (Feb. 27, 2014)</w:t>
      </w:r>
    </w:p>
    <w:p w:rsidR="00C3677B" w:rsidRDefault="00C3677B" w:rsidP="00961BB5"/>
    <w:p w:rsidR="00C3677B" w:rsidRDefault="00C3677B" w:rsidP="00961BB5">
      <w:r>
        <w:t>Dear Mr. Wilson:</w:t>
      </w:r>
    </w:p>
    <w:p w:rsidR="00E81C35" w:rsidRDefault="00E232B4" w:rsidP="00E232B4">
      <w:pPr>
        <w:ind w:firstLine="720"/>
      </w:pPr>
      <w:r>
        <w:t xml:space="preserve">I write </w:t>
      </w:r>
      <w:r w:rsidR="00793821">
        <w:t xml:space="preserve">as </w:t>
      </w:r>
      <w:r w:rsidR="008570B1">
        <w:t xml:space="preserve">Advocacy Director and a member of the Board of Directors </w:t>
      </w:r>
      <w:r w:rsidR="00793821">
        <w:t xml:space="preserve">of the United States Society for Augmentative and Alternative Communication </w:t>
      </w:r>
      <w:r w:rsidR="00E81C35">
        <w:t>(USSAAC)</w:t>
      </w:r>
      <w:r w:rsidR="008570B1">
        <w:t xml:space="preserve">. USSAAC is a membership organization consisting of </w:t>
      </w:r>
      <w:r w:rsidR="00793821">
        <w:t>individuals with complex communication needs and their families, speech language pathologists who provide evaluation and treatment services, teachers, researchers, device manufacturers and advocates</w:t>
      </w:r>
      <w:r w:rsidR="00E81C35">
        <w:t xml:space="preserve">. USSAAC previously </w:t>
      </w:r>
      <w:r w:rsidR="00C3677B">
        <w:t xml:space="preserve">aided CMS staff when </w:t>
      </w:r>
      <w:r w:rsidR="00E81C35">
        <w:t xml:space="preserve">Medicare coverage and payment for speech generating devices </w:t>
      </w:r>
      <w:r w:rsidR="00C3677B">
        <w:t xml:space="preserve">was re-reviewed </w:t>
      </w:r>
      <w:r w:rsidR="00E81C35">
        <w:t>in 1999-2001</w:t>
      </w:r>
      <w:r w:rsidR="00C3677B">
        <w:t>.  That re-review led to development of the current Medicare National and Local Coverage Decisions for SGDs</w:t>
      </w:r>
      <w:r w:rsidR="00E81C35">
        <w:t xml:space="preserve">.  </w:t>
      </w:r>
    </w:p>
    <w:p w:rsidR="00C3677B" w:rsidRPr="00961BB5" w:rsidRDefault="00E81C35" w:rsidP="00E232B4">
      <w:pPr>
        <w:ind w:firstLine="720"/>
      </w:pPr>
      <w:r>
        <w:t xml:space="preserve">USSAAC writes to </w:t>
      </w:r>
      <w:r w:rsidR="008570B1">
        <w:t xml:space="preserve">respond to </w:t>
      </w:r>
      <w:r>
        <w:t xml:space="preserve">one of the several issues raised by the Joint DMAC Coverage Reminder for </w:t>
      </w:r>
      <w:r w:rsidR="008570B1">
        <w:t>Speech Generating Devices</w:t>
      </w:r>
      <w:r>
        <w:t xml:space="preserve">, issued February 27, 2014. USSAAC is aware </w:t>
      </w:r>
      <w:r w:rsidR="00C3677B">
        <w:t xml:space="preserve">of and supports the comments stated in the letter dated May 13 from Stuart </w:t>
      </w:r>
      <w:proofErr w:type="spellStart"/>
      <w:r w:rsidR="00C3677B">
        <w:t>Kurlander</w:t>
      </w:r>
      <w:proofErr w:type="spellEnd"/>
      <w:r w:rsidR="00C3677B">
        <w:t xml:space="preserve">.  We </w:t>
      </w:r>
      <w:r>
        <w:t>address an issue not discussed</w:t>
      </w:r>
      <w:r w:rsidR="00C3677B">
        <w:t xml:space="preserve"> in that letter.</w:t>
      </w:r>
      <w:r>
        <w:t xml:space="preserve">  </w:t>
      </w:r>
      <w:r w:rsidR="00C3677B">
        <w:t xml:space="preserve">Specifically, the Coverage Reminder states that </w:t>
      </w:r>
      <w:r w:rsidR="00C3677B" w:rsidRPr="00961BB5">
        <w:rPr>
          <w:i/>
        </w:rPr>
        <w:t xml:space="preserve">“accessories/peripherals for use on a non-dedicated device running SGD software are non-covered.” </w:t>
      </w:r>
      <w:r w:rsidR="000273A9">
        <w:t xml:space="preserve">This statement is not consistent with medical fact or Medicare SGD coverage policy or practice. </w:t>
      </w:r>
      <w:r w:rsidR="001E4210">
        <w:t xml:space="preserve">It represents not a “reminder” of existing coverage policy, but a policy change, and one that will save no dollars and makes no sense.  </w:t>
      </w:r>
    </w:p>
    <w:p w:rsidR="003E006F" w:rsidRDefault="00E81C35" w:rsidP="00E232B4">
      <w:pPr>
        <w:ind w:firstLine="720"/>
      </w:pPr>
      <w:r>
        <w:t xml:space="preserve">In the </w:t>
      </w:r>
      <w:r>
        <w:rPr>
          <w:i/>
        </w:rPr>
        <w:t xml:space="preserve">Formal Request for National Coverage Decision for Augmentative and Alternative Communication Devices </w:t>
      </w:r>
      <w:r>
        <w:t xml:space="preserve">(1999), USSAAC and </w:t>
      </w:r>
      <w:r w:rsidR="00C3677B">
        <w:t xml:space="preserve">the </w:t>
      </w:r>
      <w:r>
        <w:t xml:space="preserve">other participating organizations informed CMS staff </w:t>
      </w:r>
      <w:r w:rsidR="00C3677B">
        <w:t xml:space="preserve">of the characteristics of </w:t>
      </w:r>
      <w:r>
        <w:t>individuals who require an SGD to meet daily communication needs</w:t>
      </w:r>
      <w:r w:rsidR="00C3677B">
        <w:t xml:space="preserve">. These individuals have </w:t>
      </w:r>
      <w:r>
        <w:t xml:space="preserve">a wide range of diagnoses and conditions, including </w:t>
      </w:r>
      <w:r w:rsidR="003E006F">
        <w:t xml:space="preserve">conditions that affect </w:t>
      </w:r>
      <w:r w:rsidR="007B3E6B">
        <w:t xml:space="preserve">not only their </w:t>
      </w:r>
      <w:r w:rsidR="003E006F">
        <w:t>speech</w:t>
      </w:r>
      <w:r w:rsidR="007B3E6B">
        <w:t xml:space="preserve">, but also their ability to </w:t>
      </w:r>
      <w:r w:rsidR="003E006F">
        <w:t>access or control</w:t>
      </w:r>
      <w:r w:rsidR="007B3E6B">
        <w:t xml:space="preserve"> an SGD because of physical disabilities affecting motor </w:t>
      </w:r>
      <w:r w:rsidR="008E61E1">
        <w:t xml:space="preserve">or sensory </w:t>
      </w:r>
      <w:r w:rsidR="007B3E6B">
        <w:t>function</w:t>
      </w:r>
      <w:r w:rsidR="003E006F">
        <w:t xml:space="preserve">. </w:t>
      </w:r>
      <w:r w:rsidR="007B3E6B">
        <w:t>S</w:t>
      </w:r>
      <w:r w:rsidR="00C3677B">
        <w:t xml:space="preserve">ome of these conditions are static, while others are progressive. The </w:t>
      </w:r>
      <w:r w:rsidR="00C3677B">
        <w:rPr>
          <w:i/>
        </w:rPr>
        <w:t xml:space="preserve">Formal Request </w:t>
      </w:r>
      <w:r w:rsidR="00C3677B">
        <w:t xml:space="preserve">also explained that many different types of </w:t>
      </w:r>
      <w:r w:rsidR="00C3677B">
        <w:lastRenderedPageBreak/>
        <w:t xml:space="preserve">access aids have been developed to </w:t>
      </w:r>
      <w:r w:rsidR="003E006F">
        <w:t xml:space="preserve">address the </w:t>
      </w:r>
      <w:r w:rsidR="00C3677B">
        <w:t xml:space="preserve">varying </w:t>
      </w:r>
      <w:r w:rsidR="003E006F">
        <w:t>needs of individual</w:t>
      </w:r>
      <w:r>
        <w:t>s</w:t>
      </w:r>
      <w:r w:rsidR="003E006F">
        <w:t xml:space="preserve"> with physical limitations and Medicare coverage was requested for both SGDs and these accessories.</w:t>
      </w:r>
    </w:p>
    <w:p w:rsidR="000273A9" w:rsidRDefault="00C3677B" w:rsidP="00E232B4">
      <w:pPr>
        <w:ind w:firstLine="720"/>
      </w:pPr>
      <w:r>
        <w:t xml:space="preserve">Another relevant point is </w:t>
      </w:r>
      <w:r w:rsidR="00192A2D">
        <w:t xml:space="preserve">that </w:t>
      </w:r>
      <w:r w:rsidR="007B3E6B">
        <w:t xml:space="preserve">some </w:t>
      </w:r>
      <w:r w:rsidR="000273A9">
        <w:t>Medicare recipients</w:t>
      </w:r>
      <w:r>
        <w:t xml:space="preserve"> will have </w:t>
      </w:r>
      <w:r w:rsidR="003E006F">
        <w:t xml:space="preserve">physical </w:t>
      </w:r>
      <w:r w:rsidR="008E61E1">
        <w:t xml:space="preserve">or sensory </w:t>
      </w:r>
      <w:r w:rsidR="003E006F">
        <w:t xml:space="preserve">limitations at the time of </w:t>
      </w:r>
      <w:r w:rsidR="007B3E6B">
        <w:t xml:space="preserve">the </w:t>
      </w:r>
      <w:r w:rsidR="003E006F">
        <w:t>SGD evaluation</w:t>
      </w:r>
      <w:r w:rsidR="007B3E6B">
        <w:t xml:space="preserve"> creating the need for an access device</w:t>
      </w:r>
      <w:r w:rsidR="003E006F">
        <w:t xml:space="preserve">. </w:t>
      </w:r>
      <w:r w:rsidR="000273A9">
        <w:t xml:space="preserve">For these recipients, </w:t>
      </w:r>
      <w:r w:rsidR="003E006F">
        <w:t xml:space="preserve">a request </w:t>
      </w:r>
      <w:r w:rsidR="007B3E6B">
        <w:t xml:space="preserve">is </w:t>
      </w:r>
      <w:r w:rsidR="000273A9">
        <w:t xml:space="preserve">made to </w:t>
      </w:r>
      <w:r w:rsidR="003E006F">
        <w:t xml:space="preserve">Medicare </w:t>
      </w:r>
      <w:r w:rsidR="000273A9">
        <w:t xml:space="preserve">for </w:t>
      </w:r>
      <w:r w:rsidR="003E006F">
        <w:t xml:space="preserve">coverage and payment </w:t>
      </w:r>
      <w:r w:rsidR="000273A9">
        <w:t xml:space="preserve">of </w:t>
      </w:r>
      <w:r w:rsidR="003E006F">
        <w:t xml:space="preserve">both an SGD and </w:t>
      </w:r>
      <w:r w:rsidR="000273A9">
        <w:t xml:space="preserve">an </w:t>
      </w:r>
      <w:r w:rsidR="003E006F">
        <w:t xml:space="preserve">accessory. </w:t>
      </w:r>
      <w:r w:rsidR="007B3E6B">
        <w:t>However, o</w:t>
      </w:r>
      <w:r w:rsidR="00EA4ACE">
        <w:t xml:space="preserve">ther </w:t>
      </w:r>
      <w:r w:rsidR="000273A9">
        <w:t xml:space="preserve">recipients </w:t>
      </w:r>
      <w:r w:rsidR="00192A2D">
        <w:t>will</w:t>
      </w:r>
      <w:r w:rsidR="000273A9">
        <w:t xml:space="preserve"> not have physical </w:t>
      </w:r>
      <w:r w:rsidR="008E61E1">
        <w:t xml:space="preserve">or sensory </w:t>
      </w:r>
      <w:r w:rsidR="000273A9">
        <w:t>impairments at the time of the SLP evaluation</w:t>
      </w:r>
      <w:r w:rsidR="007B3E6B">
        <w:t xml:space="preserve">, but </w:t>
      </w:r>
      <w:r w:rsidR="008E61E1">
        <w:t xml:space="preserve">those </w:t>
      </w:r>
      <w:r w:rsidR="000273A9">
        <w:t xml:space="preserve">abilities subsequently </w:t>
      </w:r>
      <w:r w:rsidR="008E61E1">
        <w:t xml:space="preserve">will </w:t>
      </w:r>
      <w:r w:rsidR="000273A9">
        <w:t>deteriorate</w:t>
      </w:r>
      <w:r w:rsidR="00192A2D">
        <w:t xml:space="preserve">. When this occurs, </w:t>
      </w:r>
      <w:r w:rsidR="000273A9">
        <w:t xml:space="preserve">they </w:t>
      </w:r>
      <w:r w:rsidR="007B3E6B">
        <w:t>are</w:t>
      </w:r>
      <w:r w:rsidR="000273A9">
        <w:t xml:space="preserve"> re-evaluated to identify an alternative means of device access and operation</w:t>
      </w:r>
      <w:r w:rsidR="00192A2D">
        <w:t xml:space="preserve"> and </w:t>
      </w:r>
      <w:r w:rsidR="000273A9">
        <w:t>a</w:t>
      </w:r>
      <w:r w:rsidR="007B3E6B">
        <w:t>n additional</w:t>
      </w:r>
      <w:r w:rsidR="000273A9">
        <w:t xml:space="preserve"> request </w:t>
      </w:r>
      <w:r w:rsidR="007B3E6B">
        <w:t>is</w:t>
      </w:r>
      <w:r w:rsidR="000273A9">
        <w:t xml:space="preserve"> submitted to Medicare for coverage and payment of an access aid. </w:t>
      </w:r>
      <w:r w:rsidR="007B3E6B">
        <w:t>Some r</w:t>
      </w:r>
      <w:r w:rsidR="000273A9">
        <w:t>ecipient</w:t>
      </w:r>
      <w:r w:rsidR="00192A2D">
        <w:t>s</w:t>
      </w:r>
      <w:r w:rsidR="000273A9">
        <w:t xml:space="preserve"> </w:t>
      </w:r>
      <w:r w:rsidR="00192A2D">
        <w:t xml:space="preserve">may </w:t>
      </w:r>
      <w:r w:rsidR="000273A9">
        <w:t xml:space="preserve">require several different access aids as </w:t>
      </w:r>
      <w:r w:rsidR="007B3E6B">
        <w:t>their</w:t>
      </w:r>
      <w:r w:rsidR="000273A9">
        <w:t xml:space="preserve"> physical </w:t>
      </w:r>
      <w:r w:rsidR="008E61E1">
        <w:t xml:space="preserve">and/or sensory </w:t>
      </w:r>
      <w:r w:rsidR="000273A9">
        <w:t xml:space="preserve">abilities continue to change.  </w:t>
      </w:r>
    </w:p>
    <w:p w:rsidR="00DC331F" w:rsidRDefault="000273A9" w:rsidP="00E232B4">
      <w:pPr>
        <w:ind w:firstLine="720"/>
      </w:pPr>
      <w:r>
        <w:t>The circumstance just described</w:t>
      </w:r>
      <w:r w:rsidR="007B3E6B">
        <w:t xml:space="preserve"> </w:t>
      </w:r>
      <w:r w:rsidR="008E61E1">
        <w:t xml:space="preserve">affects </w:t>
      </w:r>
      <w:r>
        <w:t xml:space="preserve">Medicare recipients with </w:t>
      </w:r>
      <w:r w:rsidR="008E61E1">
        <w:t xml:space="preserve">degenerative diseases, such as </w:t>
      </w:r>
      <w:r>
        <w:t>bulbar onset ALS</w:t>
      </w:r>
      <w:r w:rsidR="008E61E1">
        <w:t xml:space="preserve">, </w:t>
      </w:r>
      <w:proofErr w:type="spellStart"/>
      <w:r w:rsidR="008E61E1">
        <w:t>Freidrich’s</w:t>
      </w:r>
      <w:proofErr w:type="spellEnd"/>
      <w:r w:rsidR="008E61E1">
        <w:t xml:space="preserve"> ataxia, progressive </w:t>
      </w:r>
      <w:proofErr w:type="spellStart"/>
      <w:r w:rsidR="008E61E1">
        <w:t>supranuclear</w:t>
      </w:r>
      <w:proofErr w:type="spellEnd"/>
      <w:r w:rsidR="008E61E1">
        <w:t xml:space="preserve"> palsy, Parkinson’s disease or multiple sclerosis</w:t>
      </w:r>
      <w:r>
        <w:t xml:space="preserve">.  </w:t>
      </w:r>
      <w:r w:rsidR="00876475">
        <w:t xml:space="preserve">Early in the disease process, these </w:t>
      </w:r>
      <w:r w:rsidR="007B3E6B">
        <w:t>i</w:t>
      </w:r>
      <w:r w:rsidR="00DC331F">
        <w:t xml:space="preserve">ndividuals </w:t>
      </w:r>
      <w:r w:rsidR="00876475">
        <w:t xml:space="preserve">may </w:t>
      </w:r>
      <w:r w:rsidR="00E81C35">
        <w:t xml:space="preserve">lose the ability to speak effectively </w:t>
      </w:r>
      <w:r w:rsidR="008E61E1">
        <w:t xml:space="preserve">while initially maintaining </w:t>
      </w:r>
      <w:r w:rsidR="00EA4ACE">
        <w:t>functional use of the arms and hands</w:t>
      </w:r>
      <w:r w:rsidR="008E61E1">
        <w:t xml:space="preserve">.  </w:t>
      </w:r>
      <w:r w:rsidR="00192A2D">
        <w:t xml:space="preserve"> </w:t>
      </w:r>
      <w:r w:rsidR="00876475">
        <w:t xml:space="preserve">For this reason, </w:t>
      </w:r>
      <w:r w:rsidR="001725B3">
        <w:t xml:space="preserve">the speech-language pathologist </w:t>
      </w:r>
      <w:r w:rsidR="00EA4ACE">
        <w:t xml:space="preserve">often will recommend an SGD </w:t>
      </w:r>
      <w:r w:rsidR="00DC331F">
        <w:t>with no access aid</w:t>
      </w:r>
      <w:r w:rsidR="001725B3">
        <w:t xml:space="preserve"> because the</w:t>
      </w:r>
      <w:r w:rsidR="007B3E6B">
        <w:t>se</w:t>
      </w:r>
      <w:r w:rsidR="001725B3">
        <w:t xml:space="preserve"> individual</w:t>
      </w:r>
      <w:r w:rsidR="007B3E6B">
        <w:t>s</w:t>
      </w:r>
      <w:r w:rsidR="001725B3">
        <w:t xml:space="preserve"> can </w:t>
      </w:r>
      <w:r>
        <w:t xml:space="preserve">operate </w:t>
      </w:r>
      <w:r w:rsidR="00DC331F">
        <w:t xml:space="preserve">the </w:t>
      </w:r>
      <w:r w:rsidR="007B3E6B">
        <w:t>SGD</w:t>
      </w:r>
      <w:r w:rsidR="00DC331F">
        <w:t xml:space="preserve"> </w:t>
      </w:r>
      <w:r w:rsidR="001725B3">
        <w:t xml:space="preserve">by pointing or typing </w:t>
      </w:r>
      <w:r w:rsidR="00DC331F">
        <w:t>with their fingers. However, as the condition progresses, th</w:t>
      </w:r>
      <w:r w:rsidR="00192A2D">
        <w:t xml:space="preserve">ese individuals </w:t>
      </w:r>
      <w:r w:rsidR="007B3E6B">
        <w:t xml:space="preserve">gradually </w:t>
      </w:r>
      <w:r w:rsidR="00DC331F">
        <w:t xml:space="preserve">lose </w:t>
      </w:r>
      <w:r w:rsidR="00876475">
        <w:t xml:space="preserve">functional </w:t>
      </w:r>
      <w:r w:rsidR="00DC331F">
        <w:t xml:space="preserve">use </w:t>
      </w:r>
      <w:r w:rsidR="00876475">
        <w:t xml:space="preserve">of </w:t>
      </w:r>
      <w:r w:rsidR="00DC331F">
        <w:t>their hands and other body parts</w:t>
      </w:r>
      <w:r w:rsidR="00192A2D">
        <w:t xml:space="preserve">. </w:t>
      </w:r>
      <w:r w:rsidR="00876475">
        <w:t xml:space="preserve">Over time, they </w:t>
      </w:r>
      <w:r w:rsidR="00192A2D">
        <w:t xml:space="preserve">often </w:t>
      </w:r>
      <w:r w:rsidR="00DC331F">
        <w:t>require one or perhaps a series of access aids to continue to use and benefit from the</w:t>
      </w:r>
      <w:r w:rsidR="00192A2D">
        <w:t>ir</w:t>
      </w:r>
      <w:r w:rsidR="00DC331F">
        <w:t xml:space="preserve"> SGD. </w:t>
      </w:r>
    </w:p>
    <w:p w:rsidR="00EA4ACE" w:rsidRDefault="00DC331F" w:rsidP="00961BB5">
      <w:pPr>
        <w:ind w:firstLine="720"/>
      </w:pPr>
      <w:r>
        <w:t xml:space="preserve">CMS responded to the </w:t>
      </w:r>
      <w:r>
        <w:rPr>
          <w:i/>
        </w:rPr>
        <w:t xml:space="preserve">Formal Request </w:t>
      </w:r>
      <w:r>
        <w:t xml:space="preserve">by accepting SGDs and access aids for Medicare coverage and payment. In addition, </w:t>
      </w:r>
      <w:r w:rsidR="003E006F">
        <w:t xml:space="preserve">the </w:t>
      </w:r>
      <w:r w:rsidR="0094533D">
        <w:rPr>
          <w:i/>
        </w:rPr>
        <w:t>Formal Request</w:t>
      </w:r>
      <w:r w:rsidR="0094533D">
        <w:t xml:space="preserve"> discussed SGD software as an accessory</w:t>
      </w:r>
      <w:r w:rsidR="00876475">
        <w:t>,</w:t>
      </w:r>
      <w:r w:rsidR="0094533D">
        <w:t xml:space="preserve"> stat</w:t>
      </w:r>
      <w:r w:rsidR="007B3E6B">
        <w:t>ing</w:t>
      </w:r>
      <w:r w:rsidR="0094533D">
        <w:t xml:space="preserve"> that some companies sold their software as a separate item, which a recipient could install on a personal computer the recipient already owned. The NCD for SGDs respond</w:t>
      </w:r>
      <w:r w:rsidR="007B3E6B">
        <w:t>ed</w:t>
      </w:r>
      <w:r w:rsidR="0094533D">
        <w:t xml:space="preserve"> to this point by approving SGD software for Medicare coverage </w:t>
      </w:r>
      <w:r w:rsidR="003E006F">
        <w:t xml:space="preserve">and payment when it “allows a laptop computer, desktop computer or personal digital assistant (PDA) to function as a speech generating device.”  </w:t>
      </w:r>
      <w:r w:rsidR="00EA4ACE">
        <w:t>Software for this purpose was assigned code E 2511; SGD accessories were assigned code E 2599.</w:t>
      </w:r>
    </w:p>
    <w:p w:rsidR="00036A6E" w:rsidRDefault="00EA4ACE" w:rsidP="00036A6E">
      <w:pPr>
        <w:ind w:firstLine="720"/>
      </w:pPr>
      <w:r>
        <w:t>The Coverage Reminder contradicts longstanding Medicare SGD coverage policy and practice.</w:t>
      </w:r>
      <w:r w:rsidR="00192A2D">
        <w:t xml:space="preserve"> </w:t>
      </w:r>
      <w:r w:rsidR="00876475">
        <w:t xml:space="preserve">The Coverage Reminder, but not </w:t>
      </w:r>
      <w:r w:rsidR="00036A6E">
        <w:t xml:space="preserve">the National Coverage Decision </w:t>
      </w:r>
      <w:r w:rsidR="00876475">
        <w:t xml:space="preserve">or </w:t>
      </w:r>
      <w:r w:rsidR="00036A6E">
        <w:t xml:space="preserve">the Local Coverage Decision for SGDs </w:t>
      </w:r>
      <w:r w:rsidR="00876475">
        <w:t xml:space="preserve">prohibit </w:t>
      </w:r>
      <w:r w:rsidR="00036A6E">
        <w:t xml:space="preserve">use of the SGD software code and SGD accessories code together – either at the same time or by the same recipient at different times. Operationally, Medicare recipients have been able to use their own computer plus Medicare funded AAC/SGD software to create a speech generating device and, either at that time or at a later time, also seek Medicare coverage and payment for an access aid. We are aware of no policy or practice by the Medicare DMERCs or DMACs to reject </w:t>
      </w:r>
      <w:r w:rsidR="00876475">
        <w:t xml:space="preserve">such </w:t>
      </w:r>
      <w:r w:rsidR="00036A6E">
        <w:t>claims</w:t>
      </w:r>
      <w:r w:rsidR="00876475">
        <w:t>.</w:t>
      </w:r>
      <w:r w:rsidR="00036A6E">
        <w:t xml:space="preserve">  </w:t>
      </w:r>
    </w:p>
    <w:p w:rsidR="00B26386" w:rsidRDefault="00D16FB7" w:rsidP="00BC3BD3">
      <w:pPr>
        <w:ind w:firstLine="720"/>
      </w:pPr>
      <w:r>
        <w:t>T</w:t>
      </w:r>
      <w:r w:rsidR="008570B1">
        <w:t>h</w:t>
      </w:r>
      <w:r w:rsidR="00687B14">
        <w:t xml:space="preserve">e </w:t>
      </w:r>
      <w:r w:rsidR="008570B1">
        <w:t xml:space="preserve">policy change </w:t>
      </w:r>
      <w:r w:rsidR="00687B14">
        <w:t xml:space="preserve">stated in the Coverage Reminder </w:t>
      </w:r>
      <w:r w:rsidR="008570B1">
        <w:t xml:space="preserve">will </w:t>
      </w:r>
      <w:r w:rsidR="006C5CC0">
        <w:t>provide no benefit to Medicare recipients and is contrary to their interests</w:t>
      </w:r>
      <w:r w:rsidR="001725B3">
        <w:t>.</w:t>
      </w:r>
      <w:r w:rsidR="006C5CC0">
        <w:t xml:space="preserve"> </w:t>
      </w:r>
      <w:r w:rsidR="001725B3">
        <w:t>I</w:t>
      </w:r>
      <w:r w:rsidR="006C5CC0">
        <w:t>t also is fiscally unsound</w:t>
      </w:r>
      <w:r w:rsidR="00AC2D13">
        <w:t xml:space="preserve">: </w:t>
      </w:r>
    </w:p>
    <w:p w:rsidR="001E4210" w:rsidRDefault="006C5CC0" w:rsidP="00A535B5">
      <w:pPr>
        <w:pStyle w:val="ListParagraph"/>
        <w:numPr>
          <w:ilvl w:val="0"/>
          <w:numId w:val="1"/>
        </w:numPr>
      </w:pPr>
      <w:r>
        <w:t>Medicare recipient</w:t>
      </w:r>
      <w:r w:rsidR="001725B3">
        <w:t>s</w:t>
      </w:r>
      <w:r>
        <w:t xml:space="preserve"> with physical limitation</w:t>
      </w:r>
      <w:r w:rsidR="001725B3">
        <w:t xml:space="preserve">s that prevent them from accessing a </w:t>
      </w:r>
      <w:r w:rsidR="001E4210">
        <w:t xml:space="preserve">computer they already own </w:t>
      </w:r>
      <w:r w:rsidR="001F7960">
        <w:t xml:space="preserve">will no longer be able to </w:t>
      </w:r>
      <w:r w:rsidR="001725B3">
        <w:t xml:space="preserve">request </w:t>
      </w:r>
      <w:r w:rsidR="00687B14">
        <w:t xml:space="preserve">just </w:t>
      </w:r>
      <w:r>
        <w:t xml:space="preserve">SGD software and </w:t>
      </w:r>
      <w:r>
        <w:lastRenderedPageBreak/>
        <w:t>a</w:t>
      </w:r>
      <w:r w:rsidR="001725B3">
        <w:t>n a</w:t>
      </w:r>
      <w:r>
        <w:t>ccess</w:t>
      </w:r>
      <w:r w:rsidR="001E4210">
        <w:t xml:space="preserve"> aid</w:t>
      </w:r>
      <w:r w:rsidR="001725B3">
        <w:t xml:space="preserve">. Instead, </w:t>
      </w:r>
      <w:r w:rsidR="001E4210">
        <w:t xml:space="preserve">they </w:t>
      </w:r>
      <w:r>
        <w:t>must obtain a complete SGD system, which will include the device, software and accessory</w:t>
      </w:r>
      <w:r w:rsidR="001E4210">
        <w:t xml:space="preserve">. </w:t>
      </w:r>
      <w:r w:rsidR="00A535B5">
        <w:t>Th</w:t>
      </w:r>
      <w:r w:rsidR="001E4210">
        <w:t>e cost</w:t>
      </w:r>
      <w:r w:rsidR="00A535B5">
        <w:t>s</w:t>
      </w:r>
      <w:r w:rsidR="001E4210">
        <w:t xml:space="preserve"> </w:t>
      </w:r>
      <w:r w:rsidR="00687B14">
        <w:t xml:space="preserve">for the device </w:t>
      </w:r>
      <w:r w:rsidR="001E4210">
        <w:t xml:space="preserve">will be much higher than </w:t>
      </w:r>
      <w:r w:rsidR="00687B14">
        <w:t xml:space="preserve">for </w:t>
      </w:r>
      <w:r w:rsidR="001E4210">
        <w:t xml:space="preserve">the software alone, needlessly increasing Medicare’s costs.  </w:t>
      </w:r>
    </w:p>
    <w:p w:rsidR="001E4210" w:rsidRDefault="001E4210" w:rsidP="00961BB5">
      <w:pPr>
        <w:pStyle w:val="ListParagraph"/>
        <w:numPr>
          <w:ilvl w:val="0"/>
          <w:numId w:val="1"/>
        </w:numPr>
      </w:pPr>
      <w:r>
        <w:t xml:space="preserve">For recipients whose physical </w:t>
      </w:r>
      <w:r w:rsidR="00687B14">
        <w:t xml:space="preserve">or sensory </w:t>
      </w:r>
      <w:r>
        <w:t xml:space="preserve">limitations develop </w:t>
      </w:r>
      <w:r w:rsidRPr="00AD33AF">
        <w:rPr>
          <w:u w:val="single"/>
        </w:rPr>
        <w:t>after</w:t>
      </w:r>
      <w:r>
        <w:t xml:space="preserve"> SGD need is identified, the cost increase will be even greater. First, recipients will </w:t>
      </w:r>
      <w:r w:rsidR="00687B14">
        <w:t xml:space="preserve">be able to </w:t>
      </w:r>
      <w:r>
        <w:t xml:space="preserve">obtain Medicare funding for SGD software. </w:t>
      </w:r>
      <w:r w:rsidR="00192A2D">
        <w:t>However, w</w:t>
      </w:r>
      <w:r>
        <w:t>hen their physical abilities change</w:t>
      </w:r>
      <w:r w:rsidR="00A535B5">
        <w:t xml:space="preserve">, </w:t>
      </w:r>
      <w:r w:rsidR="00687B14">
        <w:t xml:space="preserve">Rather than just obtaining the needed accessory, </w:t>
      </w:r>
      <w:r w:rsidR="00A535B5">
        <w:t xml:space="preserve">they will </w:t>
      </w:r>
      <w:r w:rsidR="00687B14">
        <w:t xml:space="preserve">have </w:t>
      </w:r>
      <w:r w:rsidR="00A535B5">
        <w:t xml:space="preserve">to </w:t>
      </w:r>
      <w:r>
        <w:t xml:space="preserve">obtain an SGD plus the access aid. </w:t>
      </w:r>
      <w:r w:rsidR="00A535B5">
        <w:t xml:space="preserve">So, </w:t>
      </w:r>
      <w:r>
        <w:t xml:space="preserve">Medicare will be paying for both SGD software and an SGD.  </w:t>
      </w:r>
    </w:p>
    <w:p w:rsidR="00982A21" w:rsidRDefault="00982A21" w:rsidP="001732E7">
      <w:pPr>
        <w:ind w:firstLine="720"/>
      </w:pPr>
      <w:r>
        <w:t xml:space="preserve">This needless increase of </w:t>
      </w:r>
      <w:r w:rsidR="001E4210">
        <w:t xml:space="preserve">costs to Medicare also </w:t>
      </w:r>
      <w:r>
        <w:t xml:space="preserve">will </w:t>
      </w:r>
      <w:r w:rsidR="00687B14">
        <w:t xml:space="preserve">harm recipients </w:t>
      </w:r>
      <w:r w:rsidR="00AC2D13">
        <w:t xml:space="preserve">financially </w:t>
      </w:r>
      <w:r w:rsidR="00687B14">
        <w:t xml:space="preserve">because there will be a corresponding </w:t>
      </w:r>
      <w:r w:rsidR="001E4210">
        <w:t xml:space="preserve">increase </w:t>
      </w:r>
      <w:r w:rsidR="00687B14">
        <w:t xml:space="preserve">in recipients’ </w:t>
      </w:r>
      <w:r w:rsidR="001E4210">
        <w:t>co-payments</w:t>
      </w:r>
      <w:r>
        <w:t xml:space="preserve">.  </w:t>
      </w:r>
      <w:r w:rsidR="00192A2D">
        <w:t>In addition, f</w:t>
      </w:r>
      <w:r>
        <w:t xml:space="preserve">orcing recipients to change devices to get an access aid will interfere with effective communication </w:t>
      </w:r>
      <w:r w:rsidR="00A535B5">
        <w:t xml:space="preserve">because </w:t>
      </w:r>
      <w:r>
        <w:t xml:space="preserve">recipients </w:t>
      </w:r>
      <w:r w:rsidR="00192A2D">
        <w:t xml:space="preserve">will </w:t>
      </w:r>
      <w:r w:rsidR="00A535B5">
        <w:t xml:space="preserve">need to </w:t>
      </w:r>
      <w:r>
        <w:t xml:space="preserve">learn </w:t>
      </w:r>
      <w:r w:rsidR="00A535B5">
        <w:t xml:space="preserve">to use </w:t>
      </w:r>
      <w:r>
        <w:t>the new system</w:t>
      </w:r>
      <w:r w:rsidR="00A535B5">
        <w:t xml:space="preserve">, as well as </w:t>
      </w:r>
      <w:r>
        <w:t>adjust to their deteriorating physical conditions</w:t>
      </w:r>
      <w:r w:rsidR="00BC3BD3">
        <w:t>.</w:t>
      </w:r>
    </w:p>
    <w:p w:rsidR="000B3850" w:rsidRDefault="000B3850" w:rsidP="00BC3BD3">
      <w:r>
        <w:tab/>
      </w:r>
      <w:r w:rsidR="0072665F">
        <w:t xml:space="preserve">The actual </w:t>
      </w:r>
      <w:r w:rsidR="00982A21">
        <w:t xml:space="preserve">costs of SGD </w:t>
      </w:r>
      <w:r w:rsidR="0072665F">
        <w:t xml:space="preserve">software and </w:t>
      </w:r>
      <w:r w:rsidR="00982A21">
        <w:t xml:space="preserve">access aids </w:t>
      </w:r>
      <w:r w:rsidR="00AC2D13">
        <w:t xml:space="preserve">illustrate </w:t>
      </w:r>
      <w:r w:rsidR="00192A2D">
        <w:t xml:space="preserve">the irrationality of the </w:t>
      </w:r>
      <w:r w:rsidR="00982A21">
        <w:t>policy</w:t>
      </w:r>
      <w:r w:rsidR="00AC2D13">
        <w:t xml:space="preserve">:  </w:t>
      </w:r>
    </w:p>
    <w:p w:rsidR="000B3850" w:rsidRDefault="0072665F" w:rsidP="00BC3BD3">
      <w:pPr>
        <w:pStyle w:val="ListParagraph"/>
        <w:numPr>
          <w:ilvl w:val="0"/>
          <w:numId w:val="1"/>
        </w:numPr>
      </w:pPr>
      <w:r>
        <w:t xml:space="preserve">For recipients </w:t>
      </w:r>
      <w:r w:rsidR="00192A2D">
        <w:t xml:space="preserve">who </w:t>
      </w:r>
      <w:r>
        <w:t>need both an SGD and access aid</w:t>
      </w:r>
      <w:r w:rsidR="00192A2D">
        <w:t xml:space="preserve"> initially</w:t>
      </w:r>
      <w:r>
        <w:t>,</w:t>
      </w:r>
      <w:r w:rsidR="00AC2D13">
        <w:t xml:space="preserve"> under existing policy the recipient will require </w:t>
      </w:r>
      <w:r>
        <w:t>SGD software (a few hundred dollars)</w:t>
      </w:r>
      <w:r w:rsidR="00F353D3">
        <w:t xml:space="preserve"> plus the accessory (a few hundred dollars, except for eye tracking).  </w:t>
      </w:r>
      <w:r w:rsidR="00B26386">
        <w:t>By contrast, u</w:t>
      </w:r>
      <w:r w:rsidR="00F353D3">
        <w:t xml:space="preserve">nder the Coverage Reminder, this recipient will require </w:t>
      </w:r>
      <w:r>
        <w:t xml:space="preserve">an SGD, </w:t>
      </w:r>
      <w:r w:rsidR="00A535B5">
        <w:t xml:space="preserve">most of which </w:t>
      </w:r>
      <w:r>
        <w:t>are from the E 2510 code (more than $ 7,000)</w:t>
      </w:r>
      <w:r w:rsidR="00F353D3">
        <w:t xml:space="preserve"> plus the accessory</w:t>
      </w:r>
      <w:r>
        <w:t xml:space="preserve">.  </w:t>
      </w:r>
    </w:p>
    <w:p w:rsidR="000B3850" w:rsidRDefault="0072665F" w:rsidP="00961BB5">
      <w:pPr>
        <w:pStyle w:val="ListParagraph"/>
        <w:numPr>
          <w:ilvl w:val="0"/>
          <w:numId w:val="1"/>
        </w:numPr>
        <w:rPr>
          <w:u w:val="single"/>
        </w:rPr>
      </w:pPr>
      <w:r>
        <w:t xml:space="preserve">For recipients </w:t>
      </w:r>
      <w:r w:rsidR="00192A2D">
        <w:t>who</w:t>
      </w:r>
      <w:r>
        <w:t xml:space="preserve"> need </w:t>
      </w:r>
      <w:r w:rsidR="00B26386">
        <w:t xml:space="preserve">only an SGD initially, </w:t>
      </w:r>
      <w:r w:rsidR="00F353D3">
        <w:t xml:space="preserve">under existing Medicare policy, the recipient will require only SGD software (a few hundred dollars).  Later, when an access aid is required, the recipient will require only the accessory.  </w:t>
      </w:r>
      <w:r w:rsidR="00B26386">
        <w:t>But u</w:t>
      </w:r>
      <w:r w:rsidR="00F353D3">
        <w:t xml:space="preserve">nder the Coverage Reminder, this recipient will require an SGD (more than $ 7,000) </w:t>
      </w:r>
      <w:r w:rsidR="00F353D3" w:rsidRPr="001732E7">
        <w:rPr>
          <w:i/>
        </w:rPr>
        <w:t>plus</w:t>
      </w:r>
      <w:r w:rsidR="00F353D3">
        <w:t xml:space="preserve"> the accessory.  </w:t>
      </w:r>
      <w:r w:rsidR="00AC2D13">
        <w:t xml:space="preserve">The total cost will be for SGD software, the SGD and the accessory.  </w:t>
      </w:r>
      <w:r w:rsidR="00B26386">
        <w:t xml:space="preserve"> </w:t>
      </w:r>
      <w:r w:rsidR="000B3850">
        <w:t xml:space="preserve">  </w:t>
      </w:r>
    </w:p>
    <w:p w:rsidR="000B3850" w:rsidRPr="00961BB5" w:rsidRDefault="000B3850" w:rsidP="00E232B4">
      <w:pPr>
        <w:ind w:firstLine="720"/>
        <w:rPr>
          <w:u w:val="single"/>
        </w:rPr>
      </w:pPr>
      <w:r w:rsidRPr="00961BB5">
        <w:rPr>
          <w:u w:val="single"/>
        </w:rPr>
        <w:t>Conclusion</w:t>
      </w:r>
    </w:p>
    <w:p w:rsidR="00122E97" w:rsidRDefault="00122E97" w:rsidP="00E232B4">
      <w:pPr>
        <w:ind w:firstLine="720"/>
      </w:pPr>
      <w:r>
        <w:t>USSAAC, on its own behalf and on behalf of the individuals and organizations identified below</w:t>
      </w:r>
      <w:r w:rsidR="000B3850">
        <w:t xml:space="preserve">, </w:t>
      </w:r>
      <w:r>
        <w:t xml:space="preserve">request that CMS withdraw the </w:t>
      </w:r>
      <w:r w:rsidR="000B3850">
        <w:t>February 27</w:t>
      </w:r>
      <w:r w:rsidR="000B3850" w:rsidRPr="00961BB5">
        <w:rPr>
          <w:vertAlign w:val="superscript"/>
        </w:rPr>
        <w:t>th</w:t>
      </w:r>
      <w:r w:rsidR="000B3850">
        <w:t xml:space="preserve"> </w:t>
      </w:r>
      <w:r>
        <w:t xml:space="preserve">Coverage Reminder and make no </w:t>
      </w:r>
      <w:r w:rsidR="000B3850">
        <w:t xml:space="preserve">other </w:t>
      </w:r>
      <w:r>
        <w:t xml:space="preserve">changes to Medicare SGD coverage policy.  </w:t>
      </w:r>
    </w:p>
    <w:p w:rsidR="000B3850" w:rsidRDefault="000B3850" w:rsidP="00E232B4">
      <w:pPr>
        <w:ind w:firstLine="720"/>
      </w:pPr>
      <w:r>
        <w:t>Thank you</w:t>
      </w:r>
      <w:r w:rsidR="00452C8C">
        <w:t xml:space="preserve"> for your attention and consideration of the concerns expressed</w:t>
      </w:r>
      <w:r>
        <w:t>.</w:t>
      </w:r>
      <w:r w:rsidR="00452C8C">
        <w:t xml:space="preserve"> We are happy to answer any questions you might have. </w:t>
      </w:r>
    </w:p>
    <w:p w:rsidR="000B3850" w:rsidRDefault="000B3850" w:rsidP="00E232B4">
      <w:pPr>
        <w:ind w:firstLine="720"/>
      </w:pPr>
      <w:r>
        <w:t>Sincerely,</w:t>
      </w:r>
    </w:p>
    <w:p w:rsidR="000B3850" w:rsidRDefault="000B3850" w:rsidP="00E232B4">
      <w:pPr>
        <w:ind w:firstLine="720"/>
      </w:pPr>
    </w:p>
    <w:p w:rsidR="000B3850" w:rsidRDefault="000B3850" w:rsidP="00961BB5">
      <w:pPr>
        <w:spacing w:after="0" w:line="240" w:lineRule="auto"/>
        <w:ind w:firstLine="720"/>
      </w:pPr>
      <w:r>
        <w:t xml:space="preserve">Lewis </w:t>
      </w:r>
      <w:proofErr w:type="spellStart"/>
      <w:r>
        <w:t>Golinker</w:t>
      </w:r>
      <w:proofErr w:type="spellEnd"/>
    </w:p>
    <w:p w:rsidR="000B3850" w:rsidRDefault="000B3850" w:rsidP="00961BB5">
      <w:pPr>
        <w:spacing w:after="0" w:line="240" w:lineRule="auto"/>
        <w:ind w:firstLine="720"/>
      </w:pPr>
      <w:r>
        <w:t>Advocacy Director</w:t>
      </w:r>
    </w:p>
    <w:p w:rsidR="000B3850" w:rsidRDefault="000B3850" w:rsidP="00961BB5">
      <w:pPr>
        <w:spacing w:after="0" w:line="240" w:lineRule="auto"/>
        <w:ind w:firstLine="720"/>
      </w:pPr>
      <w:r>
        <w:t>United States Society for Augmentative &amp; Alternative Communication</w:t>
      </w:r>
    </w:p>
    <w:p w:rsidR="00BC3BD3" w:rsidRDefault="00BC3BD3" w:rsidP="00961BB5">
      <w:pPr>
        <w:spacing w:after="0" w:line="240" w:lineRule="auto"/>
        <w:ind w:firstLine="720"/>
      </w:pPr>
    </w:p>
    <w:p w:rsidR="00BC3BD3" w:rsidRPr="00122E97" w:rsidRDefault="00BC3BD3" w:rsidP="00961BB5">
      <w:pPr>
        <w:spacing w:after="0" w:line="240" w:lineRule="auto"/>
        <w:ind w:firstLine="720"/>
      </w:pPr>
    </w:p>
    <w:sectPr w:rsidR="00BC3BD3" w:rsidRPr="00122E97" w:rsidSect="00981B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EF8" w:rsidRDefault="009C3EF8" w:rsidP="002B56F5">
      <w:pPr>
        <w:spacing w:after="0" w:line="240" w:lineRule="auto"/>
      </w:pPr>
      <w:r>
        <w:separator/>
      </w:r>
    </w:p>
  </w:endnote>
  <w:endnote w:type="continuationSeparator" w:id="0">
    <w:p w:rsidR="009C3EF8" w:rsidRDefault="009C3EF8" w:rsidP="002B5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EF8" w:rsidRDefault="009C3EF8" w:rsidP="002B56F5">
      <w:pPr>
        <w:spacing w:after="0" w:line="240" w:lineRule="auto"/>
      </w:pPr>
      <w:r>
        <w:separator/>
      </w:r>
    </w:p>
  </w:footnote>
  <w:footnote w:type="continuationSeparator" w:id="0">
    <w:p w:rsidR="009C3EF8" w:rsidRDefault="009C3EF8" w:rsidP="002B5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09F8"/>
    <w:multiLevelType w:val="hybridMultilevel"/>
    <w:tmpl w:val="5B7AE300"/>
    <w:lvl w:ilvl="0" w:tplc="6EEE1790">
      <w:start w:val="750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614D"/>
    <w:rsid w:val="000068B4"/>
    <w:rsid w:val="00025011"/>
    <w:rsid w:val="0002720D"/>
    <w:rsid w:val="000273A9"/>
    <w:rsid w:val="00036A6E"/>
    <w:rsid w:val="00077E50"/>
    <w:rsid w:val="00080AEA"/>
    <w:rsid w:val="000B3850"/>
    <w:rsid w:val="00110F96"/>
    <w:rsid w:val="00122E97"/>
    <w:rsid w:val="001542B2"/>
    <w:rsid w:val="00155037"/>
    <w:rsid w:val="001725B3"/>
    <w:rsid w:val="001732E7"/>
    <w:rsid w:val="001848F4"/>
    <w:rsid w:val="00184B5F"/>
    <w:rsid w:val="00192A2D"/>
    <w:rsid w:val="00197E50"/>
    <w:rsid w:val="001A0E7D"/>
    <w:rsid w:val="001B38EE"/>
    <w:rsid w:val="001D2973"/>
    <w:rsid w:val="001E4210"/>
    <w:rsid w:val="001F22F2"/>
    <w:rsid w:val="001F39EF"/>
    <w:rsid w:val="001F7960"/>
    <w:rsid w:val="00243259"/>
    <w:rsid w:val="002569FD"/>
    <w:rsid w:val="00265B31"/>
    <w:rsid w:val="0027231C"/>
    <w:rsid w:val="002941CE"/>
    <w:rsid w:val="002A12C1"/>
    <w:rsid w:val="002A543D"/>
    <w:rsid w:val="002B56F5"/>
    <w:rsid w:val="002B6D5A"/>
    <w:rsid w:val="002C6CEC"/>
    <w:rsid w:val="002D0D2B"/>
    <w:rsid w:val="00340659"/>
    <w:rsid w:val="00344710"/>
    <w:rsid w:val="003700B3"/>
    <w:rsid w:val="00380676"/>
    <w:rsid w:val="00387F3F"/>
    <w:rsid w:val="003A45AF"/>
    <w:rsid w:val="003C17FC"/>
    <w:rsid w:val="003D381F"/>
    <w:rsid w:val="003D5C73"/>
    <w:rsid w:val="003D6356"/>
    <w:rsid w:val="003E006F"/>
    <w:rsid w:val="003E7579"/>
    <w:rsid w:val="00405456"/>
    <w:rsid w:val="00417E7D"/>
    <w:rsid w:val="00436068"/>
    <w:rsid w:val="004376F4"/>
    <w:rsid w:val="00452C8C"/>
    <w:rsid w:val="004A0678"/>
    <w:rsid w:val="004F5698"/>
    <w:rsid w:val="00504A8A"/>
    <w:rsid w:val="005231CE"/>
    <w:rsid w:val="00526D11"/>
    <w:rsid w:val="00553F11"/>
    <w:rsid w:val="005D3B17"/>
    <w:rsid w:val="005F443A"/>
    <w:rsid w:val="00612B35"/>
    <w:rsid w:val="00625CD6"/>
    <w:rsid w:val="00687B14"/>
    <w:rsid w:val="006B64DB"/>
    <w:rsid w:val="006C5CC0"/>
    <w:rsid w:val="006E0549"/>
    <w:rsid w:val="006F2F0C"/>
    <w:rsid w:val="0071352E"/>
    <w:rsid w:val="007264E1"/>
    <w:rsid w:val="0072665F"/>
    <w:rsid w:val="00746877"/>
    <w:rsid w:val="0075312D"/>
    <w:rsid w:val="007622DD"/>
    <w:rsid w:val="00793821"/>
    <w:rsid w:val="007B0922"/>
    <w:rsid w:val="007B3E6B"/>
    <w:rsid w:val="007D2B75"/>
    <w:rsid w:val="007E6A3A"/>
    <w:rsid w:val="007F0AC6"/>
    <w:rsid w:val="00811E36"/>
    <w:rsid w:val="00834EFC"/>
    <w:rsid w:val="008420E6"/>
    <w:rsid w:val="00852D1D"/>
    <w:rsid w:val="00855C99"/>
    <w:rsid w:val="008570B1"/>
    <w:rsid w:val="008574D3"/>
    <w:rsid w:val="00876475"/>
    <w:rsid w:val="00877071"/>
    <w:rsid w:val="00894B37"/>
    <w:rsid w:val="008B7B00"/>
    <w:rsid w:val="008D4F7E"/>
    <w:rsid w:val="008D5584"/>
    <w:rsid w:val="008E06F3"/>
    <w:rsid w:val="008E2DAF"/>
    <w:rsid w:val="008E61E1"/>
    <w:rsid w:val="00934D04"/>
    <w:rsid w:val="00941587"/>
    <w:rsid w:val="0094533D"/>
    <w:rsid w:val="00945824"/>
    <w:rsid w:val="00961BB5"/>
    <w:rsid w:val="0096725B"/>
    <w:rsid w:val="00973AA6"/>
    <w:rsid w:val="0097614D"/>
    <w:rsid w:val="00976300"/>
    <w:rsid w:val="00981BBF"/>
    <w:rsid w:val="00982A21"/>
    <w:rsid w:val="00990D0E"/>
    <w:rsid w:val="009A24B7"/>
    <w:rsid w:val="009C3EF8"/>
    <w:rsid w:val="009C5E98"/>
    <w:rsid w:val="009D4704"/>
    <w:rsid w:val="00A46477"/>
    <w:rsid w:val="00A535B5"/>
    <w:rsid w:val="00A816F5"/>
    <w:rsid w:val="00A92D39"/>
    <w:rsid w:val="00A93B94"/>
    <w:rsid w:val="00AB0D52"/>
    <w:rsid w:val="00AC2D13"/>
    <w:rsid w:val="00AC45F8"/>
    <w:rsid w:val="00AD33AF"/>
    <w:rsid w:val="00AE2CA0"/>
    <w:rsid w:val="00AE6DF4"/>
    <w:rsid w:val="00AF5DF1"/>
    <w:rsid w:val="00B26386"/>
    <w:rsid w:val="00B52384"/>
    <w:rsid w:val="00B54BEE"/>
    <w:rsid w:val="00B731FC"/>
    <w:rsid w:val="00B8059A"/>
    <w:rsid w:val="00B914EA"/>
    <w:rsid w:val="00BA7654"/>
    <w:rsid w:val="00BC3BD3"/>
    <w:rsid w:val="00C3677B"/>
    <w:rsid w:val="00C54BE8"/>
    <w:rsid w:val="00C55D21"/>
    <w:rsid w:val="00C579CC"/>
    <w:rsid w:val="00C7258A"/>
    <w:rsid w:val="00C91094"/>
    <w:rsid w:val="00CE67BF"/>
    <w:rsid w:val="00D12908"/>
    <w:rsid w:val="00D16FB7"/>
    <w:rsid w:val="00D45906"/>
    <w:rsid w:val="00D70920"/>
    <w:rsid w:val="00D97CD9"/>
    <w:rsid w:val="00DB49A3"/>
    <w:rsid w:val="00DC1DC0"/>
    <w:rsid w:val="00DC331F"/>
    <w:rsid w:val="00DE031F"/>
    <w:rsid w:val="00DE72C5"/>
    <w:rsid w:val="00DF6739"/>
    <w:rsid w:val="00E232B4"/>
    <w:rsid w:val="00E422E9"/>
    <w:rsid w:val="00E6050B"/>
    <w:rsid w:val="00E81C35"/>
    <w:rsid w:val="00E821E9"/>
    <w:rsid w:val="00E8301C"/>
    <w:rsid w:val="00E8436D"/>
    <w:rsid w:val="00EA4ACE"/>
    <w:rsid w:val="00EA579A"/>
    <w:rsid w:val="00EC350C"/>
    <w:rsid w:val="00EE3C74"/>
    <w:rsid w:val="00EE4414"/>
    <w:rsid w:val="00EE5966"/>
    <w:rsid w:val="00F00D9D"/>
    <w:rsid w:val="00F10680"/>
    <w:rsid w:val="00F353D3"/>
    <w:rsid w:val="00F40C30"/>
    <w:rsid w:val="00F422E2"/>
    <w:rsid w:val="00F57F02"/>
    <w:rsid w:val="00F61601"/>
    <w:rsid w:val="00F837F3"/>
    <w:rsid w:val="00F927E7"/>
    <w:rsid w:val="00FF3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B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4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6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6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6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56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9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4210"/>
    <w:pPr>
      <w:ind w:left="720"/>
      <w:contextualSpacing/>
    </w:pPr>
  </w:style>
  <w:style w:type="table" w:styleId="TableGrid">
    <w:name w:val="Table Grid"/>
    <w:basedOn w:val="TableNormal"/>
    <w:uiPriority w:val="39"/>
    <w:rsid w:val="00B2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76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14D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56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56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56F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B56F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79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79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79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79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796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4210"/>
    <w:pPr>
      <w:ind w:left="720"/>
      <w:contextualSpacing/>
    </w:pPr>
  </w:style>
  <w:style w:type="table" w:styleId="TableGrid">
    <w:name w:val="Table Grid"/>
    <w:basedOn w:val="TableNormal"/>
    <w:uiPriority w:val="39"/>
    <w:rsid w:val="00B263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10559-05FE-454D-B0C3-E5AEC931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1207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Golinker</dc:creator>
  <cp:lastModifiedBy>Lisa Bardach</cp:lastModifiedBy>
  <cp:revision>2</cp:revision>
  <cp:lastPrinted>2014-05-19T19:40:00Z</cp:lastPrinted>
  <dcterms:created xsi:type="dcterms:W3CDTF">2014-05-21T00:41:00Z</dcterms:created>
  <dcterms:modified xsi:type="dcterms:W3CDTF">2014-05-21T00:41:00Z</dcterms:modified>
</cp:coreProperties>
</file>