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9F" w:rsidRDefault="000975D4" w:rsidP="00DE5B4F"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1666875" cy="1143000"/>
            <wp:effectExtent l="19050" t="0" r="9525" b="0"/>
            <wp:wrapNone/>
            <wp:docPr id="2" name="Picture 2" descr="C:\Users\Evelyn Mariperisena\Documents\Eye-gaze Workshop 2015\2015 eye-gaze conf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 Mariperisena\Documents\Eye-gaze Workshop 2015\2015 eye-gaze conf pic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4D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2.05pt;margin-top:-14.25pt;width:202.55pt;height:82.4pt;z-index:251679744;mso-width-percent:400;mso-position-horizontal-relative:text;mso-position-vertical-relative:text;mso-width-percent:400;mso-width-relative:margin;mso-height-relative:margin">
            <v:textbox>
              <w:txbxContent>
                <w:p w:rsidR="005954DB" w:rsidRDefault="005954DB" w:rsidP="005954DB">
                  <w:pPr>
                    <w:pBdr>
                      <w:top w:val="single" w:sz="36" w:space="1" w:color="auto"/>
                      <w:left w:val="single" w:sz="36" w:space="4" w:color="auto"/>
                      <w:bottom w:val="single" w:sz="36" w:space="1" w:color="auto"/>
                      <w:right w:val="single" w:sz="36" w:space="4" w:color="auto"/>
                    </w:pBdr>
                    <w:jc w:val="center"/>
                    <w:rPr>
                      <w:b/>
                      <w:color w:val="FF0000"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November 6-7, 2015</w:t>
                  </w:r>
                </w:p>
                <w:p w:rsidR="005954DB" w:rsidRPr="005954DB" w:rsidRDefault="005954DB" w:rsidP="005954DB">
                  <w:pPr>
                    <w:pBdr>
                      <w:top w:val="single" w:sz="36" w:space="1" w:color="auto"/>
                      <w:left w:val="single" w:sz="36" w:space="4" w:color="auto"/>
                      <w:bottom w:val="single" w:sz="36" w:space="1" w:color="auto"/>
                      <w:right w:val="single" w:sz="36" w:space="4" w:color="auto"/>
                    </w:pBdr>
                    <w:jc w:val="center"/>
                    <w:rPr>
                      <w:b/>
                      <w:color w:val="FF0000"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>REGISTER</w:t>
                  </w:r>
                  <w:r w:rsidRPr="005954DB">
                    <w:rPr>
                      <w:b/>
                      <w:color w:val="FF0000"/>
                      <w:sz w:val="36"/>
                    </w:rPr>
                    <w:t xml:space="preserve"> NOW!</w:t>
                  </w:r>
                </w:p>
                <w:p w:rsidR="005954DB" w:rsidRPr="005954DB" w:rsidRDefault="005954DB" w:rsidP="005954DB">
                  <w:pPr>
                    <w:pBdr>
                      <w:top w:val="single" w:sz="36" w:space="1" w:color="auto"/>
                      <w:left w:val="single" w:sz="36" w:space="4" w:color="auto"/>
                      <w:bottom w:val="single" w:sz="36" w:space="1" w:color="auto"/>
                      <w:right w:val="single" w:sz="36" w:space="4" w:color="auto"/>
                    </w:pBd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5954DB">
                    <w:rPr>
                      <w:b/>
                      <w:color w:val="FF0000"/>
                      <w:sz w:val="36"/>
                    </w:rPr>
                    <w:t>www.aacinstitute.org</w:t>
                  </w:r>
                </w:p>
              </w:txbxContent>
            </v:textbox>
          </v:shape>
        </w:pict>
      </w:r>
      <w:r w:rsidR="005954DB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-104775</wp:posOffset>
            </wp:positionV>
            <wp:extent cx="2110105" cy="942975"/>
            <wp:effectExtent l="19050" t="0" r="4445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C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1A3" w:rsidRDefault="00DE21A3" w:rsidP="00DE21A3"/>
    <w:p w:rsidR="00DE21A3" w:rsidRDefault="00DE21A3" w:rsidP="00DE21A3"/>
    <w:p w:rsidR="00DE21A3" w:rsidRDefault="00DE21A3" w:rsidP="00DE21A3"/>
    <w:p w:rsidR="00DE21A3" w:rsidRDefault="00DE21A3" w:rsidP="00DE21A3"/>
    <w:p w:rsidR="00DE21A3" w:rsidRDefault="00DE21A3" w:rsidP="00DE21A3"/>
    <w:p w:rsidR="000F2901" w:rsidRPr="005954DB" w:rsidRDefault="000F2901" w:rsidP="00DE5B4F">
      <w:pPr>
        <w:rPr>
          <w:rFonts w:ascii="Arial Black" w:hAnsi="Arial Black"/>
          <w:b/>
          <w:sz w:val="40"/>
          <w:szCs w:val="28"/>
        </w:rPr>
      </w:pPr>
      <w:r w:rsidRPr="005954DB">
        <w:rPr>
          <w:rFonts w:ascii="Arial Black" w:hAnsi="Arial Black"/>
          <w:b/>
          <w:sz w:val="40"/>
          <w:szCs w:val="28"/>
        </w:rPr>
        <w:t xml:space="preserve">Eye-Gaze and Brain Computer Interface AAC: </w:t>
      </w:r>
      <w:r w:rsidR="00E150C8" w:rsidRPr="005954DB">
        <w:rPr>
          <w:rFonts w:ascii="Arial Black" w:hAnsi="Arial Black"/>
          <w:b/>
          <w:sz w:val="40"/>
          <w:szCs w:val="28"/>
        </w:rPr>
        <w:t>Therapeutic Stra</w:t>
      </w:r>
      <w:r w:rsidR="00DE21A3" w:rsidRPr="005954DB">
        <w:rPr>
          <w:rFonts w:ascii="Arial Black" w:hAnsi="Arial Black"/>
          <w:b/>
          <w:sz w:val="40"/>
          <w:szCs w:val="28"/>
        </w:rPr>
        <w:t>tegies &amp; Treatment Efficacy</w:t>
      </w:r>
    </w:p>
    <w:p w:rsidR="000F2901" w:rsidRPr="005954DB" w:rsidRDefault="00E150C8" w:rsidP="000F2901">
      <w:pPr>
        <w:rPr>
          <w:b/>
          <w:sz w:val="24"/>
        </w:rPr>
      </w:pPr>
      <w:r w:rsidRPr="005954DB">
        <w:rPr>
          <w:b/>
          <w:sz w:val="24"/>
        </w:rPr>
        <w:t>Friday &amp; Saturday, November 6-7, 2015</w:t>
      </w:r>
    </w:p>
    <w:p w:rsidR="000F2901" w:rsidRPr="005954DB" w:rsidRDefault="000F2901" w:rsidP="000F2901">
      <w:pPr>
        <w:rPr>
          <w:b/>
          <w:sz w:val="24"/>
        </w:rPr>
      </w:pPr>
      <w:r w:rsidRPr="005954DB">
        <w:rPr>
          <w:b/>
          <w:sz w:val="24"/>
        </w:rPr>
        <w:t>Crowne Plaza Pittsburgh South, Pittsburgh, PA</w:t>
      </w:r>
    </w:p>
    <w:p w:rsidR="000F2901" w:rsidRPr="003037FA" w:rsidRDefault="000F2901" w:rsidP="000F2901">
      <w:pPr>
        <w:rPr>
          <w:b/>
          <w:sz w:val="8"/>
        </w:rPr>
      </w:pPr>
    </w:p>
    <w:p w:rsidR="005954DB" w:rsidRDefault="005954DB" w:rsidP="005954DB">
      <w:pPr>
        <w:pStyle w:val="ListParagraph"/>
        <w:numPr>
          <w:ilvl w:val="0"/>
          <w:numId w:val="7"/>
        </w:numPr>
        <w:rPr>
          <w:b/>
          <w:color w:val="FF0000"/>
        </w:rPr>
      </w:pPr>
      <w:r w:rsidRPr="005954DB">
        <w:rPr>
          <w:b/>
          <w:color w:val="FF0000"/>
        </w:rPr>
        <w:t xml:space="preserve">IACET </w:t>
      </w:r>
      <w:r w:rsidR="00E150C8" w:rsidRPr="005954DB">
        <w:rPr>
          <w:b/>
          <w:color w:val="FF0000"/>
        </w:rPr>
        <w:t>Continuing E</w:t>
      </w:r>
      <w:r w:rsidR="000F2901" w:rsidRPr="005954DB">
        <w:rPr>
          <w:b/>
          <w:color w:val="FF0000"/>
        </w:rPr>
        <w:t>ducation Credi</w:t>
      </w:r>
      <w:r w:rsidR="009B69C4" w:rsidRPr="005954DB">
        <w:rPr>
          <w:b/>
          <w:color w:val="FF0000"/>
        </w:rPr>
        <w:t>ts (CEUs)</w:t>
      </w:r>
      <w:r w:rsidR="00E150C8" w:rsidRPr="005954DB">
        <w:rPr>
          <w:b/>
          <w:color w:val="FF0000"/>
        </w:rPr>
        <w:t xml:space="preserve"> offered</w:t>
      </w:r>
    </w:p>
    <w:p w:rsidR="005954DB" w:rsidRPr="000975D4" w:rsidRDefault="005954DB" w:rsidP="005954DB">
      <w:pPr>
        <w:pStyle w:val="ListParagraph"/>
        <w:ind w:left="0"/>
        <w:rPr>
          <w:b/>
          <w:color w:val="FF0000"/>
        </w:rPr>
      </w:pPr>
      <w:r w:rsidRPr="000975D4">
        <w:rPr>
          <w:b/>
          <w:color w:val="FF0000"/>
        </w:rPr>
        <w:t xml:space="preserve">Participating Manufacturers: FRS Solutions, LC Technologies, Inc., </w:t>
      </w:r>
      <w:proofErr w:type="spellStart"/>
      <w:r w:rsidRPr="000975D4">
        <w:rPr>
          <w:b/>
          <w:color w:val="FF0000"/>
        </w:rPr>
        <w:t>Prentke</w:t>
      </w:r>
      <w:proofErr w:type="spellEnd"/>
      <w:r w:rsidRPr="000975D4">
        <w:rPr>
          <w:b/>
          <w:color w:val="FF0000"/>
        </w:rPr>
        <w:t xml:space="preserve"> </w:t>
      </w:r>
      <w:proofErr w:type="spellStart"/>
      <w:r w:rsidRPr="000975D4">
        <w:rPr>
          <w:b/>
          <w:color w:val="FF0000"/>
        </w:rPr>
        <w:t>Romich</w:t>
      </w:r>
      <w:proofErr w:type="spellEnd"/>
      <w:r w:rsidRPr="000975D4">
        <w:rPr>
          <w:b/>
          <w:color w:val="FF0000"/>
        </w:rPr>
        <w:t xml:space="preserve"> Company, </w:t>
      </w:r>
      <w:proofErr w:type="spellStart"/>
      <w:r w:rsidRPr="000975D4">
        <w:rPr>
          <w:b/>
          <w:color w:val="FF0000"/>
        </w:rPr>
        <w:t>Tobii</w:t>
      </w:r>
      <w:proofErr w:type="spellEnd"/>
      <w:r w:rsidRPr="000975D4">
        <w:rPr>
          <w:b/>
          <w:color w:val="FF0000"/>
        </w:rPr>
        <w:t xml:space="preserve"> </w:t>
      </w:r>
      <w:proofErr w:type="spellStart"/>
      <w:r w:rsidRPr="000975D4">
        <w:rPr>
          <w:b/>
          <w:color w:val="FF0000"/>
        </w:rPr>
        <w:t>dynavox</w:t>
      </w:r>
      <w:proofErr w:type="spellEnd"/>
    </w:p>
    <w:p w:rsidR="000E6DE3" w:rsidRPr="003037FA" w:rsidRDefault="00E150C8" w:rsidP="00E150C8">
      <w:pPr>
        <w:rPr>
          <w:sz w:val="20"/>
        </w:rPr>
      </w:pPr>
      <w:r w:rsidRPr="003037FA">
        <w:rPr>
          <w:sz w:val="20"/>
        </w:rPr>
        <w:t>This conference will present</w:t>
      </w:r>
      <w:r w:rsidR="000F2901" w:rsidRPr="003037FA">
        <w:rPr>
          <w:sz w:val="20"/>
        </w:rPr>
        <w:t xml:space="preserve"> </w:t>
      </w:r>
      <w:r w:rsidRPr="003037FA">
        <w:rPr>
          <w:sz w:val="20"/>
        </w:rPr>
        <w:t xml:space="preserve">evidence-based </w:t>
      </w:r>
      <w:r w:rsidR="000F2901" w:rsidRPr="003037FA">
        <w:rPr>
          <w:sz w:val="20"/>
        </w:rPr>
        <w:t>augmentative and alternat</w:t>
      </w:r>
      <w:r w:rsidRPr="003037FA">
        <w:rPr>
          <w:sz w:val="20"/>
        </w:rPr>
        <w:t>ive communication (AAC) therapeutic interventions</w:t>
      </w:r>
      <w:r w:rsidR="000F2901" w:rsidRPr="003037FA">
        <w:rPr>
          <w:sz w:val="20"/>
        </w:rPr>
        <w:t xml:space="preserve"> for using eye-gaze or brain computer interface (BCI) </w:t>
      </w:r>
      <w:r w:rsidRPr="003037FA">
        <w:rPr>
          <w:sz w:val="20"/>
        </w:rPr>
        <w:t xml:space="preserve">as access methods. </w:t>
      </w:r>
    </w:p>
    <w:p w:rsidR="000E6DE3" w:rsidRPr="003037FA" w:rsidRDefault="000E6DE3" w:rsidP="00E150C8">
      <w:pPr>
        <w:rPr>
          <w:sz w:val="14"/>
        </w:rPr>
      </w:pPr>
    </w:p>
    <w:p w:rsidR="000E6DE3" w:rsidRPr="003037FA" w:rsidRDefault="00E150C8" w:rsidP="00E150C8">
      <w:pPr>
        <w:rPr>
          <w:sz w:val="20"/>
        </w:rPr>
      </w:pPr>
      <w:r w:rsidRPr="003037FA">
        <w:rPr>
          <w:b/>
          <w:sz w:val="20"/>
        </w:rPr>
        <w:t>Day One</w:t>
      </w:r>
      <w:r w:rsidRPr="003037FA">
        <w:rPr>
          <w:sz w:val="20"/>
        </w:rPr>
        <w:t xml:space="preserve"> </w:t>
      </w:r>
      <w:r w:rsidR="00627FCE" w:rsidRPr="003037FA">
        <w:rPr>
          <w:sz w:val="20"/>
        </w:rPr>
        <w:t xml:space="preserve">morning </w:t>
      </w:r>
      <w:r w:rsidRPr="003037FA">
        <w:rPr>
          <w:sz w:val="20"/>
        </w:rPr>
        <w:t>will offer a review of preferred practices for meeting the training, treatment and progress monitoring needs of individuals who have been rec</w:t>
      </w:r>
      <w:r w:rsidR="009255BC">
        <w:rPr>
          <w:sz w:val="20"/>
        </w:rPr>
        <w:t xml:space="preserve">ommended eye-gaze or </w:t>
      </w:r>
      <w:r w:rsidRPr="003037FA">
        <w:rPr>
          <w:sz w:val="20"/>
        </w:rPr>
        <w:t xml:space="preserve">BCI access methods for AAC, including the needed supports for family members and caregivers who must be trained as system operators and/or communication partners. Evidence-based treatment protocols </w:t>
      </w:r>
      <w:r w:rsidR="00C66BF7" w:rsidRPr="003037FA">
        <w:rPr>
          <w:sz w:val="20"/>
        </w:rPr>
        <w:t xml:space="preserve">for individualizing </w:t>
      </w:r>
      <w:r w:rsidRPr="003037FA">
        <w:rPr>
          <w:sz w:val="20"/>
        </w:rPr>
        <w:t xml:space="preserve">eye-gaze and BCI access </w:t>
      </w:r>
      <w:r w:rsidR="00BD12D7">
        <w:rPr>
          <w:sz w:val="20"/>
        </w:rPr>
        <w:t xml:space="preserve">according to specific </w:t>
      </w:r>
      <w:r w:rsidR="00C66BF7" w:rsidRPr="003037FA">
        <w:rPr>
          <w:sz w:val="20"/>
        </w:rPr>
        <w:t xml:space="preserve">medical diagnoses also </w:t>
      </w:r>
      <w:r w:rsidR="009255BC">
        <w:rPr>
          <w:sz w:val="20"/>
        </w:rPr>
        <w:t xml:space="preserve">will </w:t>
      </w:r>
      <w:r w:rsidRPr="003037FA">
        <w:rPr>
          <w:sz w:val="20"/>
        </w:rPr>
        <w:t>be reviewed and</w:t>
      </w:r>
      <w:r w:rsidR="00C66BF7" w:rsidRPr="003037FA">
        <w:rPr>
          <w:sz w:val="20"/>
        </w:rPr>
        <w:t xml:space="preserve"> illustrated. Steps and tips to determine the effectiveness of treatment will be presented.</w:t>
      </w:r>
    </w:p>
    <w:p w:rsidR="00695ADB" w:rsidRPr="003037FA" w:rsidRDefault="00695ADB" w:rsidP="00E150C8">
      <w:pPr>
        <w:rPr>
          <w:sz w:val="14"/>
        </w:rPr>
      </w:pPr>
    </w:p>
    <w:p w:rsidR="00842AA6" w:rsidRPr="003037FA" w:rsidRDefault="00695ADB" w:rsidP="00E150C8">
      <w:pPr>
        <w:rPr>
          <w:sz w:val="20"/>
        </w:rPr>
      </w:pPr>
      <w:r w:rsidRPr="003037FA">
        <w:rPr>
          <w:b/>
          <w:sz w:val="20"/>
        </w:rPr>
        <w:t>Featured Luncheon Speaker</w:t>
      </w:r>
      <w:r w:rsidRPr="003037FA">
        <w:rPr>
          <w:sz w:val="20"/>
        </w:rPr>
        <w:t xml:space="preserve">: Margo Broehl, Esq., </w:t>
      </w:r>
      <w:r w:rsidR="00842AA6" w:rsidRPr="003037FA">
        <w:rPr>
          <w:sz w:val="20"/>
        </w:rPr>
        <w:t xml:space="preserve">AAC Institute Board of Trustees member and </w:t>
      </w:r>
      <w:r w:rsidRPr="003037FA">
        <w:rPr>
          <w:sz w:val="20"/>
        </w:rPr>
        <w:t xml:space="preserve">chief legal counsel for PRC will </w:t>
      </w:r>
      <w:r w:rsidR="00842AA6" w:rsidRPr="003037FA">
        <w:rPr>
          <w:sz w:val="20"/>
        </w:rPr>
        <w:t xml:space="preserve">discuss efforts to continue to improve SGD funding and reimbursement for services after the recent decision by the </w:t>
      </w:r>
      <w:r w:rsidRPr="003037FA">
        <w:rPr>
          <w:sz w:val="20"/>
        </w:rPr>
        <w:t>Centers for Medic</w:t>
      </w:r>
      <w:r w:rsidR="00842AA6" w:rsidRPr="003037FA">
        <w:rPr>
          <w:sz w:val="20"/>
        </w:rPr>
        <w:t>are and Medicaid Services (CMS) to remove the capped rental, eye-gaze and locked system policies. Why we still need to “Ask Me Why I’m Not Talking”.</w:t>
      </w:r>
    </w:p>
    <w:p w:rsidR="00842AA6" w:rsidRPr="003037FA" w:rsidRDefault="00842AA6" w:rsidP="00E150C8">
      <w:pPr>
        <w:rPr>
          <w:sz w:val="14"/>
        </w:rPr>
      </w:pPr>
    </w:p>
    <w:p w:rsidR="000E6DE3" w:rsidRPr="003037FA" w:rsidRDefault="000E6DE3" w:rsidP="00E150C8">
      <w:pPr>
        <w:rPr>
          <w:sz w:val="14"/>
        </w:rPr>
      </w:pPr>
      <w:r w:rsidRPr="003037FA">
        <w:rPr>
          <w:sz w:val="20"/>
        </w:rPr>
        <w:t>The afternoon program</w:t>
      </w:r>
      <w:r w:rsidR="00C66BF7" w:rsidRPr="003037FA">
        <w:rPr>
          <w:sz w:val="20"/>
        </w:rPr>
        <w:t xml:space="preserve"> will give participants the opportunity to rotate among four concurrent “eyes-on” sessions conducted by major manufacturers offering eye-gaze as an access method to a speech-generating device (SGD) or </w:t>
      </w:r>
      <w:r w:rsidR="00BD12D7">
        <w:rPr>
          <w:sz w:val="20"/>
        </w:rPr>
        <w:t xml:space="preserve">other </w:t>
      </w:r>
      <w:r w:rsidR="00C66BF7" w:rsidRPr="003037FA">
        <w:rPr>
          <w:sz w:val="20"/>
        </w:rPr>
        <w:t>computer. Representatives will demonstrate training, intervention strategies and teaching techniques specific to their product line. Attendees will experience and explore the eye-gaze systems in an intimate, user-friendly environment. Day One will conclude with a panel discussion with the manufacturers</w:t>
      </w:r>
      <w:r w:rsidR="00BD12D7">
        <w:rPr>
          <w:sz w:val="20"/>
        </w:rPr>
        <w:t>’ representatives answering audience</w:t>
      </w:r>
      <w:r w:rsidR="00C66BF7" w:rsidRPr="003037FA">
        <w:rPr>
          <w:sz w:val="20"/>
        </w:rPr>
        <w:t xml:space="preserve"> q</w:t>
      </w:r>
      <w:r w:rsidR="00BD12D7">
        <w:rPr>
          <w:sz w:val="20"/>
        </w:rPr>
        <w:t>uestions; with the option to s</w:t>
      </w:r>
      <w:r w:rsidR="00C66BF7" w:rsidRPr="003037FA">
        <w:rPr>
          <w:sz w:val="20"/>
        </w:rPr>
        <w:t>chedule a 1:1 meeting with a representative to finish the day or</w:t>
      </w:r>
      <w:r w:rsidRPr="003037FA">
        <w:rPr>
          <w:sz w:val="20"/>
        </w:rPr>
        <w:t xml:space="preserve"> join in a networking reception.</w:t>
      </w:r>
      <w:r w:rsidRPr="003037FA">
        <w:rPr>
          <w:sz w:val="20"/>
        </w:rPr>
        <w:br/>
      </w:r>
    </w:p>
    <w:p w:rsidR="000F2901" w:rsidRPr="003037FA" w:rsidRDefault="000E6DE3" w:rsidP="00E150C8">
      <w:pPr>
        <w:rPr>
          <w:sz w:val="20"/>
        </w:rPr>
      </w:pPr>
      <w:r w:rsidRPr="003037FA">
        <w:rPr>
          <w:b/>
          <w:sz w:val="20"/>
        </w:rPr>
        <w:t>Day Two</w:t>
      </w:r>
      <w:r w:rsidRPr="003037FA">
        <w:rPr>
          <w:sz w:val="20"/>
        </w:rPr>
        <w:t xml:space="preserve"> offers a choice among four seminars: 1) a demonstration and overview of BCI access and the most current available BCI products and clinical services; 2) an overview of data logging and language activity monitoring (LAM) and the launch of the upgraded AAC Performance Report Tool (PeRT); 3) an update on eye-gaze issues for children who use eye-gaze access. Product and training materials from a variety of companies will be available in the seminar rooms. Attendees will leave the conference fully informed and able to identify evidence-based interventions for treating clients who need eye-gaze or BCI access for AAC.</w:t>
      </w:r>
    </w:p>
    <w:p w:rsidR="00E75297" w:rsidRPr="003037FA" w:rsidRDefault="00E75297" w:rsidP="000F2901">
      <w:pPr>
        <w:rPr>
          <w:sz w:val="20"/>
        </w:rPr>
      </w:pPr>
    </w:p>
    <w:p w:rsidR="000F2901" w:rsidRPr="003037FA" w:rsidRDefault="000F2901" w:rsidP="000F2901">
      <w:pPr>
        <w:rPr>
          <w:b/>
          <w:sz w:val="20"/>
        </w:rPr>
      </w:pPr>
      <w:r w:rsidRPr="003037FA">
        <w:rPr>
          <w:b/>
          <w:sz w:val="20"/>
        </w:rPr>
        <w:t>Learner Outcomes</w:t>
      </w:r>
    </w:p>
    <w:p w:rsidR="00695ADB" w:rsidRPr="003037FA" w:rsidRDefault="000F2901" w:rsidP="000F2901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3037FA">
        <w:rPr>
          <w:sz w:val="20"/>
        </w:rPr>
        <w:t xml:space="preserve">Identify and describe three </w:t>
      </w:r>
      <w:r w:rsidR="00695ADB" w:rsidRPr="003037FA">
        <w:rPr>
          <w:sz w:val="20"/>
        </w:rPr>
        <w:t>(3) barriers that must be controlled to improve an individual’s learning trajectory for using eye-gaze or BCI as an alternative access method for AAC.</w:t>
      </w:r>
    </w:p>
    <w:p w:rsidR="00695ADB" w:rsidRPr="003037FA" w:rsidRDefault="00695ADB" w:rsidP="000F2901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3037FA">
        <w:rPr>
          <w:sz w:val="20"/>
        </w:rPr>
        <w:t xml:space="preserve">Identify and describe three (3) </w:t>
      </w:r>
      <w:r w:rsidR="000F2901" w:rsidRPr="003037FA">
        <w:rPr>
          <w:sz w:val="20"/>
        </w:rPr>
        <w:t xml:space="preserve">procedures </w:t>
      </w:r>
      <w:r w:rsidRPr="003037FA">
        <w:rPr>
          <w:sz w:val="20"/>
        </w:rPr>
        <w:t xml:space="preserve">that will support training and treatment for an individual recommended an eye-gaze or BCI as an access method. </w:t>
      </w:r>
    </w:p>
    <w:p w:rsidR="00D73DE6" w:rsidRPr="003037FA" w:rsidRDefault="00D73DE6" w:rsidP="00D73DE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3037FA">
        <w:rPr>
          <w:rFonts w:cs="Times New Roman"/>
          <w:sz w:val="20"/>
          <w:szCs w:val="24"/>
        </w:rPr>
        <w:t xml:space="preserve">Identify </w:t>
      </w:r>
      <w:r w:rsidR="003037FA" w:rsidRPr="003037FA">
        <w:rPr>
          <w:rFonts w:cs="Times New Roman"/>
          <w:sz w:val="20"/>
          <w:szCs w:val="24"/>
        </w:rPr>
        <w:t>three (</w:t>
      </w:r>
      <w:r w:rsidRPr="003037FA">
        <w:rPr>
          <w:rFonts w:cs="Times New Roman"/>
          <w:sz w:val="20"/>
          <w:szCs w:val="24"/>
        </w:rPr>
        <w:t>3</w:t>
      </w:r>
      <w:r w:rsidR="003037FA" w:rsidRPr="003037FA">
        <w:rPr>
          <w:rFonts w:cs="Times New Roman"/>
          <w:sz w:val="20"/>
          <w:szCs w:val="24"/>
        </w:rPr>
        <w:t>)</w:t>
      </w:r>
      <w:r w:rsidRPr="003037FA">
        <w:rPr>
          <w:rFonts w:cs="Times New Roman"/>
          <w:sz w:val="20"/>
          <w:szCs w:val="24"/>
        </w:rPr>
        <w:t xml:space="preserve"> performance measures to track the effectiveness of your treatment in building the operational, l</w:t>
      </w:r>
      <w:r w:rsidR="003037FA">
        <w:rPr>
          <w:rFonts w:cs="Times New Roman"/>
          <w:sz w:val="20"/>
          <w:szCs w:val="24"/>
        </w:rPr>
        <w:t xml:space="preserve">inguistic, social and strategic </w:t>
      </w:r>
      <w:r w:rsidRPr="003037FA">
        <w:rPr>
          <w:rFonts w:cs="Times New Roman"/>
          <w:sz w:val="20"/>
          <w:szCs w:val="24"/>
        </w:rPr>
        <w:t>competence of individuals using eye gaze or BCI as an access method.</w:t>
      </w:r>
    </w:p>
    <w:p w:rsidR="00DE21A3" w:rsidRDefault="00D73DE6" w:rsidP="00DE21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3037FA">
        <w:rPr>
          <w:rFonts w:cs="Times New Roman"/>
          <w:sz w:val="20"/>
          <w:szCs w:val="24"/>
        </w:rPr>
        <w:t xml:space="preserve">Identify </w:t>
      </w:r>
      <w:r w:rsidR="003037FA">
        <w:rPr>
          <w:rFonts w:cs="Times New Roman"/>
          <w:sz w:val="20"/>
          <w:szCs w:val="24"/>
        </w:rPr>
        <w:t>two (</w:t>
      </w:r>
      <w:r w:rsidRPr="003037FA">
        <w:rPr>
          <w:rFonts w:cs="Times New Roman"/>
          <w:sz w:val="20"/>
          <w:szCs w:val="24"/>
        </w:rPr>
        <w:t>2</w:t>
      </w:r>
      <w:r w:rsidR="003037FA">
        <w:rPr>
          <w:rFonts w:cs="Times New Roman"/>
          <w:sz w:val="20"/>
          <w:szCs w:val="24"/>
        </w:rPr>
        <w:t>)</w:t>
      </w:r>
      <w:r w:rsidRPr="003037FA">
        <w:rPr>
          <w:rFonts w:cs="Times New Roman"/>
          <w:sz w:val="20"/>
          <w:szCs w:val="24"/>
        </w:rPr>
        <w:t xml:space="preserve"> features/resources that influence treatment effectiveness for two (2) different eye gaze technologies/manufacturers.</w:t>
      </w:r>
    </w:p>
    <w:p w:rsidR="00D73DE6" w:rsidRPr="009255BC" w:rsidRDefault="00D73DE6" w:rsidP="009255B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DE21A3">
        <w:rPr>
          <w:rFonts w:cs="Times New Roman"/>
          <w:sz w:val="20"/>
          <w:szCs w:val="24"/>
        </w:rPr>
        <w:t xml:space="preserve">List </w:t>
      </w:r>
      <w:r w:rsidR="003037FA" w:rsidRPr="00DE21A3">
        <w:rPr>
          <w:rFonts w:cs="Times New Roman"/>
          <w:sz w:val="20"/>
          <w:szCs w:val="24"/>
        </w:rPr>
        <w:t>three (</w:t>
      </w:r>
      <w:r w:rsidRPr="00DE21A3">
        <w:rPr>
          <w:rFonts w:cs="Times New Roman"/>
          <w:sz w:val="20"/>
          <w:szCs w:val="24"/>
        </w:rPr>
        <w:t>3</w:t>
      </w:r>
      <w:r w:rsidR="003037FA" w:rsidRPr="00DE21A3">
        <w:rPr>
          <w:rFonts w:cs="Times New Roman"/>
          <w:sz w:val="20"/>
          <w:szCs w:val="24"/>
        </w:rPr>
        <w:t>)</w:t>
      </w:r>
      <w:r w:rsidRPr="00DE21A3">
        <w:rPr>
          <w:rFonts w:cs="Times New Roman"/>
          <w:sz w:val="20"/>
          <w:szCs w:val="24"/>
        </w:rPr>
        <w:t xml:space="preserve"> factors to consider when training an individual and system operator on a BCI syst</w:t>
      </w:r>
      <w:r w:rsidR="00DE21A3">
        <w:rPr>
          <w:rFonts w:cs="Times New Roman"/>
          <w:sz w:val="20"/>
          <w:szCs w:val="24"/>
        </w:rPr>
        <w:t>em</w:t>
      </w:r>
      <w:r w:rsidR="009255BC">
        <w:rPr>
          <w:rFonts w:cs="Times New Roman"/>
          <w:sz w:val="20"/>
          <w:szCs w:val="24"/>
        </w:rPr>
        <w:t>.</w:t>
      </w:r>
    </w:p>
    <w:p w:rsidR="00F02E44" w:rsidRDefault="00F02E44" w:rsidP="005954DB">
      <w:pPr>
        <w:rPr>
          <w:b/>
          <w:sz w:val="20"/>
        </w:rPr>
      </w:pPr>
    </w:p>
    <w:p w:rsidR="005954DB" w:rsidRDefault="00C15D64" w:rsidP="005954DB">
      <w:pPr>
        <w:rPr>
          <w:rFonts w:eastAsia="Times New Roman" w:cs="Times New Roman"/>
          <w:b/>
          <w:color w:val="000000"/>
          <w:spacing w:val="-15"/>
          <w:sz w:val="28"/>
          <w:szCs w:val="24"/>
          <w:bdr w:val="none" w:sz="0" w:space="0" w:color="auto" w:frame="1"/>
        </w:rPr>
      </w:pPr>
      <w:r w:rsidRPr="00A74F0C">
        <w:rPr>
          <w:b/>
          <w:sz w:val="20"/>
        </w:rPr>
        <w:t>Who Should Attend</w:t>
      </w:r>
      <w:r w:rsidRPr="00A74F0C">
        <w:rPr>
          <w:sz w:val="20"/>
        </w:rPr>
        <w:t xml:space="preserve">: Speech-language pathologists, assistive technology specialists, occupational therapists, neurologists, health care providers, health insurance providers, special education instructors, skilled nursing facility staff, home health aides, paraprofessionals and individuals with disabilities and/or their families who are exploring eye-gaze access for </w:t>
      </w:r>
      <w:proofErr w:type="gramStart"/>
      <w:r w:rsidRPr="00A74F0C">
        <w:rPr>
          <w:sz w:val="20"/>
        </w:rPr>
        <w:t>AAC.</w:t>
      </w:r>
      <w:proofErr w:type="gramEnd"/>
    </w:p>
    <w:p w:rsidR="005954DB" w:rsidRDefault="005954DB" w:rsidP="005954DB">
      <w:pPr>
        <w:rPr>
          <w:rFonts w:eastAsia="Times New Roman" w:cs="Times New Roman"/>
          <w:b/>
          <w:color w:val="000000"/>
          <w:spacing w:val="-15"/>
          <w:sz w:val="28"/>
          <w:szCs w:val="24"/>
          <w:bdr w:val="none" w:sz="0" w:space="0" w:color="auto" w:frame="1"/>
        </w:rPr>
      </w:pPr>
    </w:p>
    <w:p w:rsidR="00DE21A3" w:rsidRPr="00F02E44" w:rsidRDefault="00D73DE6" w:rsidP="00F02E44">
      <w:pPr>
        <w:rPr>
          <w:b/>
          <w:sz w:val="20"/>
        </w:rPr>
      </w:pPr>
      <w:r w:rsidRPr="00842AA6">
        <w:rPr>
          <w:rFonts w:eastAsia="Times New Roman" w:cs="Times New Roman"/>
          <w:b/>
          <w:color w:val="000000"/>
          <w:spacing w:val="-15"/>
          <w:sz w:val="28"/>
          <w:szCs w:val="24"/>
          <w:bdr w:val="none" w:sz="0" w:space="0" w:color="auto" w:frame="1"/>
        </w:rPr>
        <w:lastRenderedPageBreak/>
        <w:t>Session Descriptions</w:t>
      </w:r>
    </w:p>
    <w:p w:rsidR="00D73DE6" w:rsidRPr="005954DB" w:rsidRDefault="00865587" w:rsidP="005954DB">
      <w:pPr>
        <w:pStyle w:val="ListParagraph"/>
        <w:numPr>
          <w:ilvl w:val="0"/>
          <w:numId w:val="10"/>
        </w:numPr>
        <w:shd w:val="clear" w:color="auto" w:fill="FFFFFF"/>
        <w:rPr>
          <w:rFonts w:cs="Times New Roman"/>
          <w:b/>
          <w:i/>
          <w:sz w:val="20"/>
          <w:szCs w:val="20"/>
        </w:rPr>
      </w:pPr>
      <w:r w:rsidRPr="005954DB">
        <w:rPr>
          <w:rFonts w:cs="Times New Roman"/>
          <w:b/>
          <w:i/>
          <w:sz w:val="20"/>
          <w:szCs w:val="20"/>
        </w:rPr>
        <w:t>Meeting client and family training, treatment and monitoring ne</w:t>
      </w:r>
      <w:r w:rsidR="005954DB">
        <w:rPr>
          <w:rFonts w:cs="Times New Roman"/>
          <w:b/>
          <w:i/>
          <w:sz w:val="20"/>
          <w:szCs w:val="20"/>
        </w:rPr>
        <w:t xml:space="preserve">eds for eye-gaze and BCI </w:t>
      </w:r>
      <w:r w:rsidRPr="005954DB">
        <w:rPr>
          <w:rFonts w:cs="Times New Roman"/>
          <w:b/>
          <w:i/>
          <w:sz w:val="20"/>
          <w:szCs w:val="20"/>
        </w:rPr>
        <w:t>AAC</w:t>
      </w:r>
      <w:r w:rsidR="005954DB">
        <w:rPr>
          <w:rFonts w:cs="Times New Roman"/>
          <w:b/>
          <w:i/>
          <w:sz w:val="20"/>
          <w:szCs w:val="20"/>
        </w:rPr>
        <w:t xml:space="preserve"> (Friday, Nov 6)</w:t>
      </w:r>
    </w:p>
    <w:p w:rsidR="00DE21A3" w:rsidRPr="00BD12D7" w:rsidRDefault="005954DB" w:rsidP="005954DB">
      <w:pPr>
        <w:pStyle w:val="ListParagraph"/>
        <w:shd w:val="clear" w:color="auto" w:fill="FFFFFF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Katya</w:t>
      </w:r>
      <w:proofErr w:type="spellEnd"/>
      <w:r>
        <w:rPr>
          <w:rFonts w:cs="Times New Roman"/>
          <w:sz w:val="20"/>
          <w:szCs w:val="20"/>
        </w:rPr>
        <w:t xml:space="preserve"> </w:t>
      </w:r>
      <w:r w:rsidR="00DE21A3" w:rsidRPr="005954DB">
        <w:rPr>
          <w:rFonts w:cs="Times New Roman"/>
          <w:sz w:val="20"/>
          <w:szCs w:val="20"/>
        </w:rPr>
        <w:t>Hill</w:t>
      </w:r>
      <w:r>
        <w:rPr>
          <w:rFonts w:cs="Times New Roman"/>
          <w:sz w:val="20"/>
          <w:szCs w:val="20"/>
        </w:rPr>
        <w:t>, PhD, CCC-SLP, Executive Director of the AAC Institute</w:t>
      </w:r>
      <w:r w:rsidR="00DE21A3" w:rsidRPr="005954DB">
        <w:rPr>
          <w:rFonts w:cs="Times New Roman"/>
          <w:sz w:val="20"/>
          <w:szCs w:val="20"/>
        </w:rPr>
        <w:t xml:space="preserve"> will present issues that must be controlled by the clinical team to improve the effectiveness of an individual’s ability to use eye-gaze and/or BCI as an access method and identify common barriers that limit treatment effectiveness.</w:t>
      </w:r>
    </w:p>
    <w:p w:rsidR="00DE21A3" w:rsidRPr="005954DB" w:rsidRDefault="00DE21A3" w:rsidP="005954DB">
      <w:pPr>
        <w:pStyle w:val="ListParagraph"/>
        <w:numPr>
          <w:ilvl w:val="0"/>
          <w:numId w:val="10"/>
        </w:numPr>
        <w:shd w:val="clear" w:color="auto" w:fill="FFFFFF"/>
        <w:rPr>
          <w:rFonts w:cs="Times New Roman"/>
          <w:b/>
          <w:i/>
          <w:sz w:val="20"/>
          <w:szCs w:val="20"/>
        </w:rPr>
      </w:pPr>
      <w:r w:rsidRPr="005954DB">
        <w:rPr>
          <w:rFonts w:cs="Times New Roman"/>
          <w:b/>
          <w:i/>
          <w:sz w:val="20"/>
          <w:szCs w:val="20"/>
        </w:rPr>
        <w:t>Evidence-based training strategies and measuring treatment effectiveness</w:t>
      </w:r>
      <w:r w:rsidR="005954DB">
        <w:rPr>
          <w:rFonts w:cs="Times New Roman"/>
          <w:b/>
          <w:i/>
          <w:sz w:val="20"/>
          <w:szCs w:val="20"/>
        </w:rPr>
        <w:t xml:space="preserve"> (Friday, Nov 6)</w:t>
      </w:r>
    </w:p>
    <w:p w:rsidR="00DE21A3" w:rsidRPr="00BD12D7" w:rsidRDefault="00DE21A3" w:rsidP="005954DB">
      <w:pPr>
        <w:pStyle w:val="ListParagraph"/>
        <w:shd w:val="clear" w:color="auto" w:fill="FFFFFF"/>
        <w:rPr>
          <w:rFonts w:cs="Times New Roman"/>
          <w:sz w:val="20"/>
          <w:szCs w:val="20"/>
        </w:rPr>
      </w:pPr>
      <w:r w:rsidRPr="005954DB">
        <w:rPr>
          <w:rFonts w:cs="Times New Roman"/>
          <w:sz w:val="20"/>
          <w:szCs w:val="20"/>
        </w:rPr>
        <w:t>Michael O’Leary</w:t>
      </w:r>
      <w:r w:rsidR="00A74F0C" w:rsidRPr="005954DB">
        <w:rPr>
          <w:rFonts w:cs="Times New Roman"/>
          <w:sz w:val="20"/>
          <w:szCs w:val="20"/>
        </w:rPr>
        <w:t>, speech-language pathologist at ICAN</w:t>
      </w:r>
      <w:r w:rsidR="00A74F0C" w:rsidRPr="005954DB">
        <w:rPr>
          <w:rFonts w:ascii="Times New Roman" w:hAnsi="Times New Roman" w:cs="Times New Roman"/>
          <w:sz w:val="20"/>
          <w:szCs w:val="20"/>
        </w:rPr>
        <w:t>™</w:t>
      </w:r>
      <w:r w:rsidR="00A74F0C" w:rsidRPr="005954DB">
        <w:rPr>
          <w:rFonts w:cs="Times New Roman"/>
          <w:sz w:val="20"/>
          <w:szCs w:val="20"/>
        </w:rPr>
        <w:t xml:space="preserve"> Talk Clinic,</w:t>
      </w:r>
      <w:r w:rsidRPr="005954DB">
        <w:rPr>
          <w:rFonts w:cs="Times New Roman"/>
          <w:sz w:val="20"/>
          <w:szCs w:val="20"/>
        </w:rPr>
        <w:t xml:space="preserve"> will discuss evidence-based intervention strategies and techniques to support the training and short- and long-term treatment needed for individuals who rely on eye-gaze or BCI as an access method. Case study examples will be used to demonstrate how treatment effectiveness was measured.</w:t>
      </w:r>
    </w:p>
    <w:p w:rsidR="00D73DE6" w:rsidRPr="005954DB" w:rsidRDefault="00DE21A3" w:rsidP="00D73DE6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i/>
          <w:color w:val="000000"/>
          <w:spacing w:val="-15"/>
          <w:sz w:val="20"/>
          <w:szCs w:val="20"/>
          <w:bdr w:val="none" w:sz="0" w:space="0" w:color="auto" w:frame="1"/>
        </w:rPr>
      </w:pPr>
      <w:r w:rsidRPr="005954DB">
        <w:rPr>
          <w:rFonts w:cs="Times New Roman"/>
          <w:b/>
          <w:i/>
          <w:sz w:val="20"/>
          <w:szCs w:val="20"/>
        </w:rPr>
        <w:t>Concurrent sessions with eye-gaz</w:t>
      </w:r>
      <w:r w:rsidR="005954DB">
        <w:rPr>
          <w:rFonts w:cs="Times New Roman"/>
          <w:b/>
          <w:i/>
          <w:sz w:val="20"/>
          <w:szCs w:val="20"/>
        </w:rPr>
        <w:t>e AAC manufacturers (4 sessions – Friday, Nov 6</w:t>
      </w:r>
      <w:proofErr w:type="gramStart"/>
      <w:r w:rsidR="005954DB">
        <w:rPr>
          <w:rFonts w:cs="Times New Roman"/>
          <w:b/>
          <w:i/>
          <w:sz w:val="20"/>
          <w:szCs w:val="20"/>
        </w:rPr>
        <w:t>)</w:t>
      </w:r>
      <w:proofErr w:type="gramEnd"/>
      <w:r w:rsidR="005954DB" w:rsidRPr="005954DB">
        <w:rPr>
          <w:rFonts w:cs="Times New Roman"/>
          <w:b/>
          <w:i/>
          <w:sz w:val="20"/>
          <w:szCs w:val="20"/>
        </w:rPr>
        <w:br/>
      </w:r>
      <w:r w:rsidR="00D73DE6" w:rsidRPr="005954DB">
        <w:rPr>
          <w:rFonts w:cs="Times New Roman"/>
          <w:sz w:val="20"/>
          <w:szCs w:val="20"/>
        </w:rPr>
        <w:t xml:space="preserve">Learn </w:t>
      </w:r>
      <w:r w:rsidR="008903FE" w:rsidRPr="005954DB">
        <w:rPr>
          <w:rFonts w:cs="Times New Roman"/>
          <w:sz w:val="20"/>
          <w:szCs w:val="20"/>
        </w:rPr>
        <w:t xml:space="preserve">therapeutic techniques directly </w:t>
      </w:r>
      <w:r w:rsidRPr="005954DB">
        <w:rPr>
          <w:rFonts w:cs="Times New Roman"/>
          <w:sz w:val="20"/>
          <w:szCs w:val="20"/>
        </w:rPr>
        <w:t>from representatives of major</w:t>
      </w:r>
      <w:r w:rsidR="00D73DE6" w:rsidRPr="005954DB">
        <w:rPr>
          <w:rFonts w:cs="Times New Roman"/>
          <w:sz w:val="20"/>
          <w:szCs w:val="20"/>
        </w:rPr>
        <w:t xml:space="preserve"> AAC manufacturers who offer eye</w:t>
      </w:r>
      <w:r w:rsidRPr="005954DB">
        <w:rPr>
          <w:rFonts w:cs="Times New Roman"/>
          <w:sz w:val="20"/>
          <w:szCs w:val="20"/>
        </w:rPr>
        <w:t>-</w:t>
      </w:r>
      <w:r w:rsidR="00D73DE6" w:rsidRPr="005954DB">
        <w:rPr>
          <w:rFonts w:cs="Times New Roman"/>
          <w:sz w:val="20"/>
          <w:szCs w:val="20"/>
        </w:rPr>
        <w:t>ga</w:t>
      </w:r>
      <w:r w:rsidR="008903FE" w:rsidRPr="005954DB">
        <w:rPr>
          <w:rFonts w:cs="Times New Roman"/>
          <w:sz w:val="20"/>
          <w:szCs w:val="20"/>
        </w:rPr>
        <w:t>ze access</w:t>
      </w:r>
      <w:r w:rsidR="005954DB">
        <w:rPr>
          <w:rFonts w:cs="Times New Roman"/>
          <w:sz w:val="20"/>
          <w:szCs w:val="20"/>
        </w:rPr>
        <w:t xml:space="preserve"> AAC devices</w:t>
      </w:r>
      <w:r w:rsidR="008903FE" w:rsidRPr="005954DB">
        <w:rPr>
          <w:rFonts w:cs="Times New Roman"/>
          <w:sz w:val="20"/>
          <w:szCs w:val="20"/>
        </w:rPr>
        <w:t xml:space="preserve">. </w:t>
      </w:r>
      <w:r w:rsidR="00D73DE6" w:rsidRPr="005954DB">
        <w:rPr>
          <w:rFonts w:cs="Times New Roman"/>
          <w:sz w:val="20"/>
          <w:szCs w:val="20"/>
        </w:rPr>
        <w:t>Representatives will identify, describe and demonstrate features available on their speech generating device</w:t>
      </w:r>
      <w:r w:rsidRPr="005954DB">
        <w:rPr>
          <w:rFonts w:cs="Times New Roman"/>
          <w:sz w:val="20"/>
          <w:szCs w:val="20"/>
        </w:rPr>
        <w:t>s or computers that support eye-</w:t>
      </w:r>
      <w:r w:rsidR="00D73DE6" w:rsidRPr="005954DB">
        <w:rPr>
          <w:rFonts w:cs="Times New Roman"/>
          <w:sz w:val="20"/>
          <w:szCs w:val="20"/>
        </w:rPr>
        <w:t>gaze access training and build skills using</w:t>
      </w:r>
      <w:r w:rsidR="005954DB">
        <w:rPr>
          <w:rFonts w:cs="Times New Roman"/>
          <w:sz w:val="20"/>
          <w:szCs w:val="20"/>
        </w:rPr>
        <w:t xml:space="preserve"> eye-</w:t>
      </w:r>
      <w:r w:rsidRPr="005954DB">
        <w:rPr>
          <w:rFonts w:cs="Times New Roman"/>
          <w:sz w:val="20"/>
          <w:szCs w:val="20"/>
        </w:rPr>
        <w:t xml:space="preserve">gaze as an access method. </w:t>
      </w:r>
      <w:r w:rsidR="005954DB">
        <w:rPr>
          <w:rFonts w:cs="Times New Roman"/>
          <w:sz w:val="20"/>
          <w:szCs w:val="20"/>
        </w:rPr>
        <w:t xml:space="preserve">Hands-on training/practice with equipment. </w:t>
      </w:r>
      <w:r w:rsidR="00D73DE6" w:rsidRPr="005954DB">
        <w:rPr>
          <w:rFonts w:cs="Times New Roman"/>
          <w:sz w:val="20"/>
          <w:szCs w:val="20"/>
        </w:rPr>
        <w:t>Available company resources</w:t>
      </w:r>
      <w:r w:rsidRPr="005954DB">
        <w:rPr>
          <w:rFonts w:cs="Times New Roman"/>
          <w:sz w:val="20"/>
          <w:szCs w:val="20"/>
        </w:rPr>
        <w:t xml:space="preserve"> and technical support</w:t>
      </w:r>
      <w:r w:rsidR="00D73DE6" w:rsidRPr="005954DB">
        <w:rPr>
          <w:rFonts w:cs="Times New Roman"/>
          <w:sz w:val="20"/>
          <w:szCs w:val="20"/>
        </w:rPr>
        <w:t xml:space="preserve"> will </w:t>
      </w:r>
      <w:r w:rsidR="008903FE" w:rsidRPr="005954DB">
        <w:rPr>
          <w:rFonts w:cs="Times New Roman"/>
          <w:sz w:val="20"/>
          <w:szCs w:val="20"/>
        </w:rPr>
        <w:t>also be discussed</w:t>
      </w:r>
      <w:r w:rsidR="00D73DE6" w:rsidRPr="005954DB">
        <w:rPr>
          <w:rFonts w:cs="Times New Roman"/>
          <w:sz w:val="20"/>
          <w:szCs w:val="20"/>
        </w:rPr>
        <w:t xml:space="preserve">. </w:t>
      </w:r>
    </w:p>
    <w:p w:rsidR="00D73DE6" w:rsidRPr="005954DB" w:rsidRDefault="00D73DE6" w:rsidP="005954DB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b/>
          <w:i/>
          <w:color w:val="000000"/>
          <w:sz w:val="20"/>
          <w:szCs w:val="20"/>
        </w:rPr>
      </w:pPr>
      <w:r w:rsidRPr="005954DB">
        <w:rPr>
          <w:rFonts w:eastAsia="Times New Roman" w:cs="Times New Roman"/>
          <w:b/>
          <w:i/>
          <w:color w:val="000000"/>
          <w:sz w:val="20"/>
          <w:szCs w:val="20"/>
        </w:rPr>
        <w:t>Eye gaze and BCIs for patients who are locked-in</w:t>
      </w:r>
      <w:r w:rsidR="005954DB">
        <w:rPr>
          <w:rFonts w:eastAsia="Times New Roman" w:cs="Times New Roman"/>
          <w:b/>
          <w:i/>
          <w:color w:val="000000"/>
          <w:sz w:val="20"/>
          <w:szCs w:val="20"/>
        </w:rPr>
        <w:t xml:space="preserve"> (Saturday, Nov 7)</w:t>
      </w:r>
    </w:p>
    <w:p w:rsidR="00D73DE6" w:rsidRPr="00BD12D7" w:rsidRDefault="00F02E44" w:rsidP="005954DB">
      <w:pPr>
        <w:pStyle w:val="ListParagraph"/>
        <w:shd w:val="clear" w:color="auto" w:fill="FFFFFF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Dr. Jane Huggins, a leading researcher of BCI at the University of Michigan, </w:t>
      </w:r>
      <w:r w:rsidR="00DE21A3" w:rsidRPr="005954DB">
        <w:rPr>
          <w:rFonts w:eastAsia="Times New Roman" w:cs="Times New Roman"/>
          <w:color w:val="000000"/>
          <w:sz w:val="20"/>
          <w:szCs w:val="20"/>
        </w:rPr>
        <w:t>and Michael</w:t>
      </w:r>
      <w:r w:rsidR="00D73DE6" w:rsidRPr="005954DB">
        <w:rPr>
          <w:rFonts w:eastAsia="Times New Roman" w:cs="Times New Roman"/>
          <w:color w:val="000000"/>
          <w:sz w:val="20"/>
          <w:szCs w:val="20"/>
        </w:rPr>
        <w:t xml:space="preserve"> O’Leary will discuss the current BCI research ba</w:t>
      </w:r>
      <w:r>
        <w:rPr>
          <w:rFonts w:eastAsia="Times New Roman" w:cs="Times New Roman"/>
          <w:color w:val="000000"/>
          <w:sz w:val="20"/>
          <w:szCs w:val="20"/>
        </w:rPr>
        <w:t xml:space="preserve">se and status of BCI products. </w:t>
      </w:r>
      <w:r w:rsidR="00D73DE6" w:rsidRPr="005954DB">
        <w:rPr>
          <w:rFonts w:eastAsia="Times New Roman" w:cs="Times New Roman"/>
          <w:color w:val="000000"/>
          <w:sz w:val="20"/>
          <w:szCs w:val="20"/>
        </w:rPr>
        <w:t xml:space="preserve">A BCI system will be </w:t>
      </w:r>
      <w:r w:rsidR="00A74F0C" w:rsidRPr="005954DB">
        <w:rPr>
          <w:rFonts w:eastAsia="Times New Roman" w:cs="Times New Roman"/>
          <w:color w:val="000000"/>
          <w:sz w:val="20"/>
          <w:szCs w:val="20"/>
        </w:rPr>
        <w:t xml:space="preserve">demonstrated with a volunteer. </w:t>
      </w:r>
      <w:r w:rsidR="00D73DE6" w:rsidRPr="005954DB">
        <w:rPr>
          <w:rFonts w:eastAsia="Times New Roman" w:cs="Times New Roman"/>
          <w:color w:val="000000"/>
          <w:sz w:val="20"/>
          <w:szCs w:val="20"/>
        </w:rPr>
        <w:t xml:space="preserve">Procedures and factors to consider </w:t>
      </w:r>
      <w:proofErr w:type="gramStart"/>
      <w:r w:rsidR="00D73DE6" w:rsidRPr="005954DB">
        <w:rPr>
          <w:rFonts w:eastAsia="Times New Roman" w:cs="Times New Roman"/>
          <w:color w:val="000000"/>
          <w:sz w:val="20"/>
          <w:szCs w:val="20"/>
        </w:rPr>
        <w:t>to support</w:t>
      </w:r>
      <w:proofErr w:type="gramEnd"/>
      <w:r w:rsidR="00D73DE6" w:rsidRPr="005954DB">
        <w:rPr>
          <w:rFonts w:eastAsia="Times New Roman" w:cs="Times New Roman"/>
          <w:color w:val="000000"/>
          <w:sz w:val="20"/>
          <w:szCs w:val="20"/>
        </w:rPr>
        <w:t xml:space="preserve"> training, treatment and monitoring changes will be discussed. </w:t>
      </w:r>
    </w:p>
    <w:p w:rsidR="00D73DE6" w:rsidRPr="005954DB" w:rsidRDefault="00442163" w:rsidP="005954DB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b/>
          <w:i/>
          <w:color w:val="000000"/>
          <w:sz w:val="20"/>
          <w:szCs w:val="20"/>
        </w:rPr>
      </w:pPr>
      <w:r w:rsidRPr="005954DB">
        <w:rPr>
          <w:rFonts w:eastAsia="Times New Roman" w:cs="Times New Roman"/>
          <w:b/>
          <w:i/>
          <w:color w:val="000000"/>
          <w:sz w:val="20"/>
          <w:szCs w:val="20"/>
        </w:rPr>
        <w:t>Data Logging Consortium m</w:t>
      </w:r>
      <w:r w:rsidR="00D73DE6" w:rsidRPr="005954DB">
        <w:rPr>
          <w:rFonts w:eastAsia="Times New Roman" w:cs="Times New Roman"/>
          <w:b/>
          <w:i/>
          <w:color w:val="000000"/>
          <w:sz w:val="20"/>
          <w:szCs w:val="20"/>
        </w:rPr>
        <w:t>eeting</w:t>
      </w:r>
      <w:r w:rsidR="005954DB">
        <w:rPr>
          <w:rFonts w:eastAsia="Times New Roman" w:cs="Times New Roman"/>
          <w:b/>
          <w:i/>
          <w:color w:val="000000"/>
          <w:sz w:val="20"/>
          <w:szCs w:val="20"/>
        </w:rPr>
        <w:t xml:space="preserve"> (Saturday, Nov 7)</w:t>
      </w:r>
    </w:p>
    <w:p w:rsidR="005954DB" w:rsidRDefault="00D73DE6" w:rsidP="005954DB">
      <w:pPr>
        <w:pStyle w:val="ListParagraph"/>
        <w:shd w:val="clear" w:color="auto" w:fill="FFFFFF"/>
        <w:rPr>
          <w:rFonts w:eastAsia="Times New Roman" w:cs="Times New Roman"/>
          <w:color w:val="000000"/>
          <w:sz w:val="20"/>
          <w:szCs w:val="20"/>
        </w:rPr>
      </w:pPr>
      <w:r w:rsidRPr="005954DB">
        <w:rPr>
          <w:rFonts w:eastAsia="Times New Roman" w:cs="Times New Roman"/>
          <w:color w:val="000000"/>
          <w:sz w:val="20"/>
          <w:szCs w:val="20"/>
        </w:rPr>
        <w:t xml:space="preserve">Dr. Eric Nyberg, creator of Watson and Dr. Katya Hill </w:t>
      </w:r>
      <w:proofErr w:type="gramStart"/>
      <w:r w:rsidRPr="005954DB">
        <w:rPr>
          <w:rFonts w:eastAsia="Times New Roman" w:cs="Times New Roman"/>
          <w:color w:val="000000"/>
          <w:sz w:val="20"/>
          <w:szCs w:val="20"/>
        </w:rPr>
        <w:t>have</w:t>
      </w:r>
      <w:proofErr w:type="gramEnd"/>
      <w:r w:rsidRPr="005954DB">
        <w:rPr>
          <w:rFonts w:eastAsia="Times New Roman" w:cs="Times New Roman"/>
          <w:color w:val="000000"/>
          <w:sz w:val="20"/>
          <w:szCs w:val="20"/>
        </w:rPr>
        <w:t xml:space="preserve"> organized a Data Logging Consortium to standardize a logging format and analysis process that integrates the principles of langu</w:t>
      </w:r>
      <w:r w:rsidR="00A74F0C" w:rsidRPr="005954DB">
        <w:rPr>
          <w:rFonts w:eastAsia="Times New Roman" w:cs="Times New Roman"/>
          <w:color w:val="000000"/>
          <w:sz w:val="20"/>
          <w:szCs w:val="20"/>
        </w:rPr>
        <w:t xml:space="preserve">age activity monitoring (LAM). </w:t>
      </w:r>
      <w:r w:rsidRPr="005954DB">
        <w:rPr>
          <w:rFonts w:eastAsia="Times New Roman" w:cs="Times New Roman"/>
          <w:color w:val="000000"/>
          <w:sz w:val="20"/>
          <w:szCs w:val="20"/>
        </w:rPr>
        <w:t>The newest version of PeRT, a log</w:t>
      </w:r>
      <w:r w:rsidR="00A74F0C" w:rsidRPr="005954DB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5954DB">
        <w:rPr>
          <w:rFonts w:eastAsia="Times New Roman" w:cs="Times New Roman"/>
          <w:color w:val="000000"/>
          <w:sz w:val="20"/>
          <w:szCs w:val="20"/>
        </w:rPr>
        <w:t>file ana</w:t>
      </w:r>
      <w:r w:rsidR="00A74F0C" w:rsidRPr="005954DB">
        <w:rPr>
          <w:rFonts w:eastAsia="Times New Roman" w:cs="Times New Roman"/>
          <w:color w:val="000000"/>
          <w:sz w:val="20"/>
          <w:szCs w:val="20"/>
        </w:rPr>
        <w:t>lysis tool will be demonstrated.</w:t>
      </w:r>
      <w:r w:rsidRPr="005954DB">
        <w:rPr>
          <w:rFonts w:eastAsia="Times New Roman" w:cs="Times New Roman"/>
          <w:color w:val="000000"/>
          <w:sz w:val="20"/>
          <w:szCs w:val="20"/>
        </w:rPr>
        <w:t xml:space="preserve"> Join the discussion and consortium of manufacturers, researchers, linguistics and clinicians.</w:t>
      </w:r>
    </w:p>
    <w:p w:rsidR="00D73DE6" w:rsidRPr="005954DB" w:rsidRDefault="00A74F0C" w:rsidP="005954DB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000000"/>
          <w:sz w:val="20"/>
          <w:szCs w:val="20"/>
        </w:rPr>
      </w:pPr>
      <w:r w:rsidRPr="005954DB">
        <w:rPr>
          <w:rFonts w:eastAsia="Times New Roman" w:cs="Times New Roman"/>
          <w:b/>
          <w:i/>
          <w:color w:val="000000"/>
          <w:sz w:val="20"/>
          <w:szCs w:val="20"/>
        </w:rPr>
        <w:t>Eye-g</w:t>
      </w:r>
      <w:r w:rsidR="00D73DE6" w:rsidRPr="005954DB">
        <w:rPr>
          <w:rFonts w:eastAsia="Times New Roman" w:cs="Times New Roman"/>
          <w:b/>
          <w:i/>
          <w:color w:val="000000"/>
          <w:sz w:val="20"/>
          <w:szCs w:val="20"/>
        </w:rPr>
        <w:t>aze intervention for children</w:t>
      </w:r>
      <w:r w:rsidR="005954DB">
        <w:rPr>
          <w:rFonts w:eastAsia="Times New Roman" w:cs="Times New Roman"/>
          <w:b/>
          <w:i/>
          <w:color w:val="000000"/>
          <w:sz w:val="20"/>
          <w:szCs w:val="20"/>
        </w:rPr>
        <w:t xml:space="preserve"> (Saturday, Nov 7)</w:t>
      </w:r>
      <w:r w:rsidR="00D73DE6" w:rsidRPr="005954DB">
        <w:rPr>
          <w:rFonts w:eastAsia="Times New Roman" w:cs="Times New Roman"/>
          <w:b/>
          <w:i/>
          <w:color w:val="000000"/>
          <w:sz w:val="20"/>
          <w:szCs w:val="20"/>
        </w:rPr>
        <w:t xml:space="preserve"> </w:t>
      </w:r>
    </w:p>
    <w:p w:rsidR="00F02E44" w:rsidRPr="00893CBE" w:rsidRDefault="00442163" w:rsidP="00893CBE">
      <w:pPr>
        <w:pStyle w:val="ListParagraph"/>
        <w:shd w:val="clear" w:color="auto" w:fill="FFFFFF"/>
        <w:rPr>
          <w:rFonts w:cs="Times New Roman"/>
          <w:sz w:val="20"/>
        </w:rPr>
      </w:pPr>
      <w:r w:rsidRPr="005954DB">
        <w:rPr>
          <w:rFonts w:eastAsia="Times New Roman" w:cs="Times New Roman"/>
          <w:color w:val="000000"/>
          <w:sz w:val="20"/>
          <w:szCs w:val="20"/>
        </w:rPr>
        <w:t xml:space="preserve">Evelyn </w:t>
      </w:r>
      <w:proofErr w:type="spellStart"/>
      <w:r w:rsidRPr="005954DB">
        <w:rPr>
          <w:rFonts w:eastAsia="Times New Roman" w:cs="Times New Roman"/>
          <w:color w:val="000000"/>
          <w:sz w:val="20"/>
          <w:szCs w:val="20"/>
        </w:rPr>
        <w:t>Meinert</w:t>
      </w:r>
      <w:proofErr w:type="spellEnd"/>
      <w:r w:rsidRPr="005954DB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D73DE6" w:rsidRPr="005954DB">
        <w:rPr>
          <w:rFonts w:eastAsia="Times New Roman" w:cs="Times New Roman"/>
          <w:color w:val="000000"/>
          <w:sz w:val="20"/>
          <w:szCs w:val="20"/>
        </w:rPr>
        <w:t xml:space="preserve">will discuss treatment procedures for building </w:t>
      </w:r>
      <w:r w:rsidR="00D73DE6" w:rsidRPr="005954DB">
        <w:rPr>
          <w:rFonts w:cs="Times New Roman"/>
          <w:sz w:val="20"/>
          <w:szCs w:val="20"/>
        </w:rPr>
        <w:t>operational, linguistic, social and strategic competenc</w:t>
      </w:r>
      <w:r w:rsidR="00A74F0C" w:rsidRPr="005954DB">
        <w:rPr>
          <w:rFonts w:cs="Times New Roman"/>
          <w:sz w:val="20"/>
          <w:szCs w:val="20"/>
        </w:rPr>
        <w:t xml:space="preserve">e for children using eye gaze. </w:t>
      </w:r>
      <w:r w:rsidR="00D73DE6" w:rsidRPr="005954DB">
        <w:rPr>
          <w:rFonts w:cs="Times New Roman"/>
          <w:sz w:val="20"/>
          <w:szCs w:val="20"/>
        </w:rPr>
        <w:t>Individualizing treatment protocols for children with cerebral palsy, Rhett’s syndrome, and other severe physical disabilities will be presented.</w:t>
      </w:r>
      <w:r w:rsidR="00D73DE6" w:rsidRPr="005954DB">
        <w:rPr>
          <w:rFonts w:cs="Times New Roman"/>
          <w:sz w:val="20"/>
        </w:rPr>
        <w:t xml:space="preserve"> </w:t>
      </w:r>
    </w:p>
    <w:p w:rsidR="00F02E44" w:rsidRPr="000975D4" w:rsidRDefault="000975D4" w:rsidP="00F02E44">
      <w:pPr>
        <w:rPr>
          <w:b/>
          <w:sz w:val="32"/>
          <w:szCs w:val="21"/>
        </w:rPr>
      </w:pPr>
      <w:r w:rsidRPr="000975D4">
        <w:rPr>
          <w:b/>
          <w:sz w:val="32"/>
          <w:szCs w:val="21"/>
        </w:rPr>
        <w:t>Conference Registration</w:t>
      </w:r>
      <w:r w:rsidR="00F02E44" w:rsidRPr="000975D4">
        <w:rPr>
          <w:b/>
          <w:sz w:val="32"/>
          <w:szCs w:val="21"/>
        </w:rPr>
        <w:t xml:space="preserve"> Fees:</w:t>
      </w:r>
    </w:p>
    <w:p w:rsidR="000975D4" w:rsidRPr="00893CBE" w:rsidRDefault="000975D4" w:rsidP="00F02E44">
      <w:pPr>
        <w:rPr>
          <w:b/>
          <w:color w:val="FF0000"/>
          <w:sz w:val="8"/>
          <w:szCs w:val="21"/>
        </w:rPr>
      </w:pPr>
    </w:p>
    <w:p w:rsidR="000975D4" w:rsidRPr="00374549" w:rsidRDefault="00374549" w:rsidP="00F02E44">
      <w:pPr>
        <w:rPr>
          <w:b/>
          <w:color w:val="FF0000"/>
          <w:sz w:val="24"/>
          <w:szCs w:val="21"/>
        </w:rPr>
      </w:pPr>
      <w:r>
        <w:rPr>
          <w:b/>
          <w:color w:val="FF0000"/>
          <w:sz w:val="24"/>
          <w:szCs w:val="21"/>
        </w:rPr>
        <w:t xml:space="preserve">1.5 Day </w:t>
      </w:r>
      <w:r w:rsidR="000975D4" w:rsidRPr="00374549">
        <w:rPr>
          <w:b/>
          <w:color w:val="FF0000"/>
          <w:sz w:val="24"/>
          <w:szCs w:val="21"/>
        </w:rPr>
        <w:t>Program includes all conference sessions, materials, breakfasts, Friday luncheon and breaks:</w:t>
      </w:r>
    </w:p>
    <w:p w:rsidR="00F02E44" w:rsidRPr="00304B8A" w:rsidRDefault="00F02E44" w:rsidP="00F02E44">
      <w:pPr>
        <w:ind w:left="810" w:hanging="810"/>
        <w:rPr>
          <w:sz w:val="21"/>
          <w:szCs w:val="21"/>
        </w:rPr>
      </w:pPr>
      <w:r w:rsidRPr="00B77651">
        <w:rPr>
          <w:sz w:val="21"/>
          <w:szCs w:val="21"/>
        </w:rPr>
        <w:t xml:space="preserve">_______ </w:t>
      </w:r>
      <w:r>
        <w:rPr>
          <w:sz w:val="21"/>
          <w:szCs w:val="21"/>
        </w:rPr>
        <w:t>$</w:t>
      </w:r>
      <w:r>
        <w:rPr>
          <w:b/>
          <w:sz w:val="21"/>
          <w:szCs w:val="21"/>
        </w:rPr>
        <w:t xml:space="preserve">175.00 </w:t>
      </w:r>
      <w:r w:rsidR="00374549">
        <w:rPr>
          <w:sz w:val="21"/>
          <w:szCs w:val="21"/>
        </w:rPr>
        <w:t>P</w:t>
      </w:r>
      <w:r w:rsidRPr="00304B8A">
        <w:rPr>
          <w:sz w:val="21"/>
          <w:szCs w:val="21"/>
        </w:rPr>
        <w:t>rofessionals</w:t>
      </w:r>
      <w:r>
        <w:rPr>
          <w:sz w:val="21"/>
          <w:szCs w:val="21"/>
        </w:rPr>
        <w:t xml:space="preserve"> (per person) </w:t>
      </w:r>
    </w:p>
    <w:p w:rsidR="00F02E44" w:rsidRDefault="00F02E44" w:rsidP="00F02E44">
      <w:pPr>
        <w:rPr>
          <w:sz w:val="21"/>
          <w:szCs w:val="21"/>
        </w:rPr>
      </w:pPr>
      <w:r w:rsidRPr="00B77651">
        <w:rPr>
          <w:sz w:val="21"/>
          <w:szCs w:val="21"/>
        </w:rPr>
        <w:t>_______$</w:t>
      </w:r>
      <w:r>
        <w:rPr>
          <w:b/>
          <w:sz w:val="21"/>
          <w:szCs w:val="21"/>
        </w:rPr>
        <w:t>125</w:t>
      </w:r>
      <w:r w:rsidRPr="00B77651">
        <w:rPr>
          <w:b/>
          <w:sz w:val="21"/>
          <w:szCs w:val="21"/>
        </w:rPr>
        <w:t>.00</w:t>
      </w:r>
      <w:r w:rsidRPr="00B77651">
        <w:rPr>
          <w:sz w:val="21"/>
          <w:szCs w:val="21"/>
        </w:rPr>
        <w:t xml:space="preserve"> </w:t>
      </w:r>
      <w:r w:rsidR="00374549">
        <w:rPr>
          <w:sz w:val="21"/>
          <w:szCs w:val="21"/>
        </w:rPr>
        <w:t>I</w:t>
      </w:r>
      <w:r w:rsidRPr="00B77651">
        <w:rPr>
          <w:sz w:val="21"/>
          <w:szCs w:val="21"/>
        </w:rPr>
        <w:t>ndividuals with disabilities, their par</w:t>
      </w:r>
      <w:r>
        <w:rPr>
          <w:sz w:val="21"/>
          <w:szCs w:val="21"/>
        </w:rPr>
        <w:t>ents and caregivers (for 2 persons)</w:t>
      </w:r>
    </w:p>
    <w:p w:rsidR="00F02E44" w:rsidRDefault="00F02E44" w:rsidP="00F02E44">
      <w:pPr>
        <w:rPr>
          <w:sz w:val="21"/>
          <w:szCs w:val="21"/>
        </w:rPr>
      </w:pPr>
      <w:r>
        <w:rPr>
          <w:sz w:val="21"/>
          <w:szCs w:val="21"/>
        </w:rPr>
        <w:t xml:space="preserve">_______ $ </w:t>
      </w:r>
      <w:r w:rsidRPr="00E17720">
        <w:rPr>
          <w:b/>
          <w:sz w:val="21"/>
          <w:szCs w:val="21"/>
        </w:rPr>
        <w:t>75.00</w:t>
      </w:r>
      <w:r w:rsidR="00374549">
        <w:rPr>
          <w:sz w:val="21"/>
          <w:szCs w:val="21"/>
        </w:rPr>
        <w:t xml:space="preserve"> S</w:t>
      </w:r>
      <w:r>
        <w:rPr>
          <w:sz w:val="21"/>
          <w:szCs w:val="21"/>
        </w:rPr>
        <w:t>tudents with valid ID (limited seats available)</w:t>
      </w:r>
    </w:p>
    <w:p w:rsidR="00F02E44" w:rsidRDefault="00F02E44" w:rsidP="00F02E44">
      <w:pPr>
        <w:rPr>
          <w:sz w:val="21"/>
          <w:szCs w:val="21"/>
        </w:rPr>
      </w:pPr>
    </w:p>
    <w:p w:rsidR="00F02E44" w:rsidRPr="00374549" w:rsidRDefault="00374549" w:rsidP="00F02E44">
      <w:pPr>
        <w:rPr>
          <w:b/>
          <w:color w:val="FF0000"/>
          <w:sz w:val="24"/>
          <w:szCs w:val="21"/>
        </w:rPr>
      </w:pPr>
      <w:r w:rsidRPr="00374549">
        <w:rPr>
          <w:b/>
          <w:color w:val="FF0000"/>
          <w:sz w:val="24"/>
          <w:szCs w:val="21"/>
        </w:rPr>
        <w:t>One</w:t>
      </w:r>
      <w:r w:rsidR="00F02E44" w:rsidRPr="00374549">
        <w:rPr>
          <w:b/>
          <w:color w:val="FF0000"/>
          <w:sz w:val="24"/>
          <w:szCs w:val="21"/>
        </w:rPr>
        <w:t xml:space="preserve"> Day Attendance Option</w:t>
      </w:r>
      <w:r w:rsidR="000975D4" w:rsidRPr="00374549">
        <w:rPr>
          <w:b/>
          <w:color w:val="FF0000"/>
          <w:sz w:val="24"/>
          <w:szCs w:val="21"/>
        </w:rPr>
        <w:t xml:space="preserve"> (Friday, Nov 6)</w:t>
      </w:r>
      <w:r w:rsidR="00F02E44" w:rsidRPr="00374549">
        <w:rPr>
          <w:b/>
          <w:color w:val="FF0000"/>
          <w:sz w:val="24"/>
          <w:szCs w:val="21"/>
        </w:rPr>
        <w:t>:</w:t>
      </w:r>
    </w:p>
    <w:p w:rsidR="00F02E44" w:rsidRDefault="00F02E44" w:rsidP="00F02E44">
      <w:pPr>
        <w:rPr>
          <w:sz w:val="21"/>
          <w:szCs w:val="21"/>
        </w:rPr>
      </w:pPr>
      <w:r>
        <w:rPr>
          <w:sz w:val="21"/>
          <w:szCs w:val="21"/>
        </w:rPr>
        <w:t xml:space="preserve">______ </w:t>
      </w:r>
      <w:r w:rsidRPr="00893CBE">
        <w:rPr>
          <w:b/>
          <w:sz w:val="21"/>
          <w:szCs w:val="21"/>
        </w:rPr>
        <w:t>$125</w:t>
      </w:r>
      <w:r>
        <w:rPr>
          <w:sz w:val="21"/>
          <w:szCs w:val="21"/>
        </w:rPr>
        <w:t xml:space="preserve"> </w:t>
      </w:r>
      <w:r w:rsidR="00374549">
        <w:rPr>
          <w:sz w:val="21"/>
          <w:szCs w:val="21"/>
        </w:rPr>
        <w:t>Professionals (per person)</w:t>
      </w:r>
    </w:p>
    <w:p w:rsidR="00F02E44" w:rsidRDefault="00F02E44" w:rsidP="00F02E44">
      <w:pPr>
        <w:rPr>
          <w:sz w:val="21"/>
          <w:szCs w:val="21"/>
        </w:rPr>
      </w:pPr>
      <w:r>
        <w:rPr>
          <w:sz w:val="21"/>
          <w:szCs w:val="21"/>
        </w:rPr>
        <w:t>______</w:t>
      </w:r>
      <w:r w:rsidR="00893CBE">
        <w:rPr>
          <w:sz w:val="21"/>
          <w:szCs w:val="21"/>
        </w:rPr>
        <w:t xml:space="preserve"> </w:t>
      </w:r>
      <w:r w:rsidR="00893CBE">
        <w:rPr>
          <w:b/>
          <w:sz w:val="21"/>
          <w:szCs w:val="21"/>
        </w:rPr>
        <w:t xml:space="preserve">$ </w:t>
      </w:r>
      <w:r w:rsidR="00374549" w:rsidRPr="00893CBE">
        <w:rPr>
          <w:b/>
          <w:sz w:val="21"/>
          <w:szCs w:val="21"/>
        </w:rPr>
        <w:t>75</w:t>
      </w:r>
      <w:r w:rsidR="00374549">
        <w:rPr>
          <w:sz w:val="21"/>
          <w:szCs w:val="21"/>
        </w:rPr>
        <w:t xml:space="preserve"> </w:t>
      </w:r>
      <w:r>
        <w:rPr>
          <w:sz w:val="21"/>
          <w:szCs w:val="21"/>
        </w:rPr>
        <w:t>Individuals wi</w:t>
      </w:r>
      <w:r w:rsidR="00374549">
        <w:rPr>
          <w:sz w:val="21"/>
          <w:szCs w:val="21"/>
        </w:rPr>
        <w:t xml:space="preserve">th disabilities and caregivers (for </w:t>
      </w:r>
      <w:r>
        <w:rPr>
          <w:sz w:val="21"/>
          <w:szCs w:val="21"/>
        </w:rPr>
        <w:t>2 persons)</w:t>
      </w:r>
    </w:p>
    <w:p w:rsidR="00374549" w:rsidRDefault="00374549" w:rsidP="00F02E44">
      <w:pPr>
        <w:rPr>
          <w:sz w:val="21"/>
          <w:szCs w:val="21"/>
        </w:rPr>
      </w:pPr>
      <w:r>
        <w:rPr>
          <w:sz w:val="21"/>
          <w:szCs w:val="21"/>
        </w:rPr>
        <w:t xml:space="preserve">______ </w:t>
      </w:r>
      <w:r w:rsidR="00893CBE">
        <w:rPr>
          <w:b/>
          <w:sz w:val="21"/>
          <w:szCs w:val="21"/>
        </w:rPr>
        <w:t xml:space="preserve">$ </w:t>
      </w:r>
      <w:r w:rsidRPr="00893CBE">
        <w:rPr>
          <w:b/>
          <w:sz w:val="21"/>
          <w:szCs w:val="21"/>
        </w:rPr>
        <w:t>50</w:t>
      </w:r>
      <w:r>
        <w:rPr>
          <w:sz w:val="21"/>
          <w:szCs w:val="21"/>
        </w:rPr>
        <w:t xml:space="preserve"> Students with valid ID</w:t>
      </w:r>
      <w:r w:rsidR="00893CBE">
        <w:rPr>
          <w:sz w:val="21"/>
          <w:szCs w:val="21"/>
        </w:rPr>
        <w:t xml:space="preserve"> </w:t>
      </w:r>
      <w:r>
        <w:rPr>
          <w:sz w:val="21"/>
          <w:szCs w:val="21"/>
        </w:rPr>
        <w:t>(limited seats available)</w:t>
      </w:r>
    </w:p>
    <w:p w:rsidR="00F02E44" w:rsidRDefault="00F02E44" w:rsidP="00F02E44">
      <w:pPr>
        <w:rPr>
          <w:sz w:val="21"/>
          <w:szCs w:val="21"/>
        </w:rPr>
      </w:pPr>
    </w:p>
    <w:p w:rsidR="00F02E44" w:rsidRPr="00374549" w:rsidRDefault="00F02E44" w:rsidP="00F02E44">
      <w:pPr>
        <w:rPr>
          <w:b/>
          <w:color w:val="FF0000"/>
          <w:sz w:val="24"/>
          <w:szCs w:val="21"/>
        </w:rPr>
      </w:pPr>
      <w:r w:rsidRPr="00374549">
        <w:rPr>
          <w:b/>
          <w:color w:val="FF0000"/>
          <w:sz w:val="24"/>
          <w:szCs w:val="21"/>
        </w:rPr>
        <w:t>Half-Day Attendance Option</w:t>
      </w:r>
      <w:r w:rsidR="000975D4" w:rsidRPr="00374549">
        <w:rPr>
          <w:b/>
          <w:color w:val="FF0000"/>
          <w:sz w:val="24"/>
          <w:szCs w:val="21"/>
        </w:rPr>
        <w:t xml:space="preserve"> (Saturday, Nov 7 ONLY)</w:t>
      </w:r>
    </w:p>
    <w:p w:rsidR="00F02E44" w:rsidRPr="00B77651" w:rsidRDefault="00F02E44" w:rsidP="00F02E44">
      <w:pPr>
        <w:rPr>
          <w:sz w:val="21"/>
          <w:szCs w:val="21"/>
        </w:rPr>
      </w:pPr>
      <w:r>
        <w:rPr>
          <w:sz w:val="21"/>
          <w:szCs w:val="21"/>
        </w:rPr>
        <w:t xml:space="preserve">______ </w:t>
      </w:r>
      <w:r w:rsidRPr="00893CBE">
        <w:rPr>
          <w:b/>
          <w:sz w:val="21"/>
          <w:szCs w:val="21"/>
        </w:rPr>
        <w:t>$50</w:t>
      </w:r>
      <w:r>
        <w:rPr>
          <w:sz w:val="21"/>
          <w:szCs w:val="21"/>
        </w:rPr>
        <w:t xml:space="preserve"> </w:t>
      </w:r>
      <w:r w:rsidR="00893CBE">
        <w:rPr>
          <w:sz w:val="21"/>
          <w:szCs w:val="21"/>
        </w:rPr>
        <w:t>All attendees (per person)</w:t>
      </w:r>
    </w:p>
    <w:p w:rsidR="00F02E44" w:rsidRPr="00E17720" w:rsidRDefault="00F02E44" w:rsidP="00F02E44">
      <w:pPr>
        <w:rPr>
          <w:sz w:val="16"/>
          <w:szCs w:val="21"/>
        </w:rPr>
      </w:pPr>
    </w:p>
    <w:p w:rsidR="00F02E44" w:rsidRPr="00893CBE" w:rsidRDefault="00F02E44" w:rsidP="00F02E44">
      <w:pPr>
        <w:rPr>
          <w:szCs w:val="21"/>
        </w:rPr>
      </w:pPr>
      <w:r w:rsidRPr="00893CBE">
        <w:rPr>
          <w:szCs w:val="21"/>
        </w:rPr>
        <w:t xml:space="preserve">Want to network on Thursday evening? Join us in the </w:t>
      </w:r>
      <w:proofErr w:type="spellStart"/>
      <w:r w:rsidRPr="00893CBE">
        <w:rPr>
          <w:szCs w:val="21"/>
        </w:rPr>
        <w:t>Crowne</w:t>
      </w:r>
      <w:proofErr w:type="spellEnd"/>
      <w:r w:rsidRPr="00893CBE">
        <w:rPr>
          <w:szCs w:val="21"/>
        </w:rPr>
        <w:t xml:space="preserve"> Plaza lounge a</w:t>
      </w:r>
      <w:r w:rsidR="000975D4" w:rsidRPr="00893CBE">
        <w:rPr>
          <w:szCs w:val="21"/>
        </w:rPr>
        <w:t>t the end of the day (cash bar)</w:t>
      </w:r>
    </w:p>
    <w:p w:rsidR="000975D4" w:rsidRPr="00893CBE" w:rsidRDefault="000975D4" w:rsidP="000975D4">
      <w:pPr>
        <w:rPr>
          <w:b/>
          <w:szCs w:val="21"/>
        </w:rPr>
      </w:pPr>
    </w:p>
    <w:p w:rsidR="000975D4" w:rsidRPr="00893CBE" w:rsidRDefault="000975D4" w:rsidP="000975D4">
      <w:pPr>
        <w:rPr>
          <w:b/>
          <w:szCs w:val="21"/>
        </w:rPr>
      </w:pPr>
      <w:r w:rsidRPr="00893CBE">
        <w:rPr>
          <w:b/>
          <w:szCs w:val="21"/>
        </w:rPr>
        <w:t>Hotel accommodations</w:t>
      </w:r>
      <w:r w:rsidRPr="00893CBE">
        <w:rPr>
          <w:szCs w:val="21"/>
        </w:rPr>
        <w:t xml:space="preserve">: For reservations at the </w:t>
      </w:r>
      <w:proofErr w:type="spellStart"/>
      <w:r w:rsidRPr="00893CBE">
        <w:rPr>
          <w:szCs w:val="21"/>
        </w:rPr>
        <w:t>Crowne</w:t>
      </w:r>
      <w:proofErr w:type="spellEnd"/>
      <w:r w:rsidRPr="00893CBE">
        <w:rPr>
          <w:szCs w:val="21"/>
        </w:rPr>
        <w:t xml:space="preserve"> Plaza Pittsburgh South at our discounted event rate, please phone </w:t>
      </w:r>
      <w:r w:rsidRPr="00893CBE">
        <w:rPr>
          <w:rFonts w:ascii="Calibri" w:hAnsi="Calibri"/>
          <w:bCs/>
          <w:sz w:val="24"/>
        </w:rPr>
        <w:t xml:space="preserve">Colleen Rodgers at </w:t>
      </w:r>
      <w:hyperlink r:id="rId9" w:tgtFrame="_blank" w:history="1">
        <w:r w:rsidRPr="00893CBE">
          <w:rPr>
            <w:rFonts w:ascii="Calibri" w:hAnsi="Calibri"/>
            <w:bCs/>
            <w:sz w:val="24"/>
          </w:rPr>
          <w:t>412-347-0351</w:t>
        </w:r>
      </w:hyperlink>
      <w:r w:rsidRPr="00893CBE">
        <w:rPr>
          <w:rFonts w:ascii="Calibri" w:hAnsi="Calibri"/>
          <w:bCs/>
          <w:sz w:val="24"/>
        </w:rPr>
        <w:t xml:space="preserve"> or email:</w:t>
      </w:r>
      <w:r w:rsidRPr="00893CBE">
        <w:rPr>
          <w:rFonts w:ascii="Calibri" w:hAnsi="Calibri"/>
          <w:b/>
          <w:bCs/>
          <w:color w:val="1F497D"/>
          <w:sz w:val="24"/>
        </w:rPr>
        <w:t xml:space="preserve"> </w:t>
      </w:r>
      <w:hyperlink r:id="rId10" w:tgtFrame="_blank" w:history="1">
        <w:r w:rsidRPr="00893CBE">
          <w:rPr>
            <w:rFonts w:ascii="Calibri" w:hAnsi="Calibri"/>
            <w:b/>
            <w:bCs/>
            <w:color w:val="0000FF"/>
            <w:sz w:val="24"/>
            <w:u w:val="single"/>
          </w:rPr>
          <w:t>crodgers@cppghsouth.com</w:t>
        </w:r>
      </w:hyperlink>
      <w:r w:rsidRPr="00893CBE">
        <w:rPr>
          <w:b/>
          <w:szCs w:val="21"/>
        </w:rPr>
        <w:t xml:space="preserve"> </w:t>
      </w:r>
    </w:p>
    <w:p w:rsidR="000975D4" w:rsidRPr="00893CBE" w:rsidRDefault="000975D4" w:rsidP="00F02E44">
      <w:pPr>
        <w:rPr>
          <w:szCs w:val="21"/>
        </w:rPr>
      </w:pPr>
    </w:p>
    <w:p w:rsidR="000975D4" w:rsidRPr="00893CBE" w:rsidRDefault="000975D4" w:rsidP="000975D4">
      <w:pPr>
        <w:rPr>
          <w:szCs w:val="21"/>
        </w:rPr>
      </w:pPr>
      <w:proofErr w:type="gramStart"/>
      <w:r w:rsidRPr="00893CBE">
        <w:rPr>
          <w:b/>
          <w:szCs w:val="21"/>
        </w:rPr>
        <w:t>Questions?</w:t>
      </w:r>
      <w:proofErr w:type="gramEnd"/>
      <w:r w:rsidRPr="00893CBE">
        <w:rPr>
          <w:szCs w:val="21"/>
        </w:rPr>
        <w:t xml:space="preserve"> Please contact Evelyn </w:t>
      </w:r>
      <w:proofErr w:type="spellStart"/>
      <w:r w:rsidRPr="00893CBE">
        <w:rPr>
          <w:szCs w:val="21"/>
        </w:rPr>
        <w:t>Meinert</w:t>
      </w:r>
      <w:proofErr w:type="spellEnd"/>
      <w:r w:rsidRPr="00893CBE">
        <w:rPr>
          <w:szCs w:val="21"/>
        </w:rPr>
        <w:t xml:space="preserve"> at </w:t>
      </w:r>
      <w:hyperlink r:id="rId11" w:history="1">
        <w:r w:rsidRPr="00893CBE">
          <w:rPr>
            <w:rStyle w:val="Hyperlink"/>
            <w:szCs w:val="21"/>
          </w:rPr>
          <w:t>emeinert@aacinstitute.org</w:t>
        </w:r>
      </w:hyperlink>
      <w:r w:rsidRPr="00893CBE">
        <w:rPr>
          <w:szCs w:val="21"/>
        </w:rPr>
        <w:t xml:space="preserve"> </w:t>
      </w:r>
    </w:p>
    <w:p w:rsidR="000975D4" w:rsidRDefault="000975D4" w:rsidP="00F02E44">
      <w:pPr>
        <w:rPr>
          <w:sz w:val="21"/>
          <w:szCs w:val="21"/>
        </w:rPr>
      </w:pPr>
    </w:p>
    <w:p w:rsidR="000975D4" w:rsidRPr="000975D4" w:rsidRDefault="000975D4" w:rsidP="000975D4">
      <w:pPr>
        <w:jc w:val="center"/>
        <w:rPr>
          <w:b/>
          <w:color w:val="FF0000"/>
          <w:sz w:val="36"/>
          <w:szCs w:val="21"/>
        </w:rPr>
      </w:pPr>
      <w:r>
        <w:rPr>
          <w:b/>
          <w:color w:val="FF0000"/>
          <w:sz w:val="36"/>
          <w:szCs w:val="21"/>
        </w:rPr>
        <w:t>View detailed conference program and r</w:t>
      </w:r>
      <w:r w:rsidRPr="000975D4">
        <w:rPr>
          <w:b/>
          <w:color w:val="FF0000"/>
          <w:sz w:val="36"/>
          <w:szCs w:val="21"/>
        </w:rPr>
        <w:t>egister online at www.aacinstitute.org</w:t>
      </w:r>
    </w:p>
    <w:sectPr w:rsidR="000975D4" w:rsidRPr="000975D4" w:rsidSect="00DE5B4F">
      <w:pgSz w:w="12240" w:h="15840"/>
      <w:pgMar w:top="720" w:right="99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2C" w:rsidRDefault="00F6532C" w:rsidP="00784ABC">
      <w:r>
        <w:separator/>
      </w:r>
    </w:p>
  </w:endnote>
  <w:endnote w:type="continuationSeparator" w:id="0">
    <w:p w:rsidR="00F6532C" w:rsidRDefault="00F6532C" w:rsidP="00784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2C" w:rsidRDefault="00F6532C" w:rsidP="00784ABC">
      <w:r>
        <w:separator/>
      </w:r>
    </w:p>
  </w:footnote>
  <w:footnote w:type="continuationSeparator" w:id="0">
    <w:p w:rsidR="00F6532C" w:rsidRDefault="00F6532C" w:rsidP="00784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102"/>
    <w:multiLevelType w:val="hybridMultilevel"/>
    <w:tmpl w:val="47806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D40AC"/>
    <w:multiLevelType w:val="multilevel"/>
    <w:tmpl w:val="7E52A87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3C1957B6"/>
    <w:multiLevelType w:val="hybridMultilevel"/>
    <w:tmpl w:val="31AAB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A4649"/>
    <w:multiLevelType w:val="hybridMultilevel"/>
    <w:tmpl w:val="670E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95B2B"/>
    <w:multiLevelType w:val="hybridMultilevel"/>
    <w:tmpl w:val="BDAAD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32F0B"/>
    <w:multiLevelType w:val="hybridMultilevel"/>
    <w:tmpl w:val="E0A8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D3532"/>
    <w:multiLevelType w:val="hybridMultilevel"/>
    <w:tmpl w:val="11F0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D4E10"/>
    <w:multiLevelType w:val="hybridMultilevel"/>
    <w:tmpl w:val="FD34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A785E41"/>
    <w:multiLevelType w:val="hybridMultilevel"/>
    <w:tmpl w:val="47A4EB60"/>
    <w:lvl w:ilvl="0" w:tplc="23805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0772E"/>
    <w:multiLevelType w:val="hybridMultilevel"/>
    <w:tmpl w:val="C35E60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901"/>
    <w:rsid w:val="000002A2"/>
    <w:rsid w:val="00003CD1"/>
    <w:rsid w:val="00007D60"/>
    <w:rsid w:val="000975D4"/>
    <w:rsid w:val="000D554B"/>
    <w:rsid w:val="000D705B"/>
    <w:rsid w:val="000E6DE3"/>
    <w:rsid w:val="000F2901"/>
    <w:rsid w:val="000F6DAC"/>
    <w:rsid w:val="001011B4"/>
    <w:rsid w:val="00113803"/>
    <w:rsid w:val="00132F0E"/>
    <w:rsid w:val="00156B46"/>
    <w:rsid w:val="00170879"/>
    <w:rsid w:val="00172223"/>
    <w:rsid w:val="0018495C"/>
    <w:rsid w:val="00186019"/>
    <w:rsid w:val="001975B5"/>
    <w:rsid w:val="001A276A"/>
    <w:rsid w:val="001B0583"/>
    <w:rsid w:val="001B06F3"/>
    <w:rsid w:val="001B4779"/>
    <w:rsid w:val="001C1B9F"/>
    <w:rsid w:val="00217178"/>
    <w:rsid w:val="00244123"/>
    <w:rsid w:val="00286086"/>
    <w:rsid w:val="00295430"/>
    <w:rsid w:val="002A0150"/>
    <w:rsid w:val="002A5575"/>
    <w:rsid w:val="002D124A"/>
    <w:rsid w:val="003037FA"/>
    <w:rsid w:val="00304B8A"/>
    <w:rsid w:val="00322918"/>
    <w:rsid w:val="003257CD"/>
    <w:rsid w:val="00346704"/>
    <w:rsid w:val="0035428D"/>
    <w:rsid w:val="00370F4B"/>
    <w:rsid w:val="00374549"/>
    <w:rsid w:val="00376681"/>
    <w:rsid w:val="00390666"/>
    <w:rsid w:val="00390C4C"/>
    <w:rsid w:val="00393729"/>
    <w:rsid w:val="003A5C07"/>
    <w:rsid w:val="003C3E05"/>
    <w:rsid w:val="003F06B5"/>
    <w:rsid w:val="00422926"/>
    <w:rsid w:val="00437371"/>
    <w:rsid w:val="00442163"/>
    <w:rsid w:val="00455E5C"/>
    <w:rsid w:val="00467603"/>
    <w:rsid w:val="00475195"/>
    <w:rsid w:val="00477518"/>
    <w:rsid w:val="00490239"/>
    <w:rsid w:val="004E121F"/>
    <w:rsid w:val="004F0367"/>
    <w:rsid w:val="0052011F"/>
    <w:rsid w:val="005377FF"/>
    <w:rsid w:val="005530A0"/>
    <w:rsid w:val="005848DF"/>
    <w:rsid w:val="005954DB"/>
    <w:rsid w:val="005957FC"/>
    <w:rsid w:val="005A354B"/>
    <w:rsid w:val="005D2D4F"/>
    <w:rsid w:val="005F03AD"/>
    <w:rsid w:val="005F14DC"/>
    <w:rsid w:val="005F262D"/>
    <w:rsid w:val="00607EB8"/>
    <w:rsid w:val="00627FCE"/>
    <w:rsid w:val="00632406"/>
    <w:rsid w:val="00634815"/>
    <w:rsid w:val="006432A9"/>
    <w:rsid w:val="006500D0"/>
    <w:rsid w:val="0065135C"/>
    <w:rsid w:val="006533B9"/>
    <w:rsid w:val="00691603"/>
    <w:rsid w:val="00695ADB"/>
    <w:rsid w:val="00696DBB"/>
    <w:rsid w:val="006A786A"/>
    <w:rsid w:val="006D7393"/>
    <w:rsid w:val="006F7A08"/>
    <w:rsid w:val="007266E9"/>
    <w:rsid w:val="00726710"/>
    <w:rsid w:val="00732397"/>
    <w:rsid w:val="00743F65"/>
    <w:rsid w:val="00784ABC"/>
    <w:rsid w:val="007A5C50"/>
    <w:rsid w:val="007D093F"/>
    <w:rsid w:val="007E7E8F"/>
    <w:rsid w:val="00842A40"/>
    <w:rsid w:val="00842AA6"/>
    <w:rsid w:val="00846C59"/>
    <w:rsid w:val="00847EDC"/>
    <w:rsid w:val="008533FD"/>
    <w:rsid w:val="00865587"/>
    <w:rsid w:val="008903FE"/>
    <w:rsid w:val="0089388A"/>
    <w:rsid w:val="00893CBE"/>
    <w:rsid w:val="008B1E04"/>
    <w:rsid w:val="008D1CDA"/>
    <w:rsid w:val="00922407"/>
    <w:rsid w:val="009255BC"/>
    <w:rsid w:val="009302B8"/>
    <w:rsid w:val="00960FBB"/>
    <w:rsid w:val="009A7EDF"/>
    <w:rsid w:val="009B5ECB"/>
    <w:rsid w:val="009B69C4"/>
    <w:rsid w:val="009C203E"/>
    <w:rsid w:val="009D7FA9"/>
    <w:rsid w:val="00A2706C"/>
    <w:rsid w:val="00A34B8B"/>
    <w:rsid w:val="00A6013E"/>
    <w:rsid w:val="00A61CFF"/>
    <w:rsid w:val="00A74F0C"/>
    <w:rsid w:val="00A83E74"/>
    <w:rsid w:val="00A84AC3"/>
    <w:rsid w:val="00A87326"/>
    <w:rsid w:val="00A9665C"/>
    <w:rsid w:val="00AC3DF3"/>
    <w:rsid w:val="00B04F92"/>
    <w:rsid w:val="00B3087C"/>
    <w:rsid w:val="00B51EA0"/>
    <w:rsid w:val="00B56B17"/>
    <w:rsid w:val="00B6294C"/>
    <w:rsid w:val="00B77651"/>
    <w:rsid w:val="00B8179F"/>
    <w:rsid w:val="00BA2367"/>
    <w:rsid w:val="00BB0AE8"/>
    <w:rsid w:val="00BC4AE0"/>
    <w:rsid w:val="00BD12D7"/>
    <w:rsid w:val="00C15D64"/>
    <w:rsid w:val="00C50A65"/>
    <w:rsid w:val="00C64A1F"/>
    <w:rsid w:val="00C66BF7"/>
    <w:rsid w:val="00C86596"/>
    <w:rsid w:val="00D12BBE"/>
    <w:rsid w:val="00D234C4"/>
    <w:rsid w:val="00D71507"/>
    <w:rsid w:val="00D7271C"/>
    <w:rsid w:val="00D72D68"/>
    <w:rsid w:val="00D73DE6"/>
    <w:rsid w:val="00DA3B82"/>
    <w:rsid w:val="00DC2244"/>
    <w:rsid w:val="00DD2408"/>
    <w:rsid w:val="00DD496F"/>
    <w:rsid w:val="00DE21A3"/>
    <w:rsid w:val="00DE5B4F"/>
    <w:rsid w:val="00DF3BCA"/>
    <w:rsid w:val="00E00682"/>
    <w:rsid w:val="00E148E0"/>
    <w:rsid w:val="00E150C8"/>
    <w:rsid w:val="00E17720"/>
    <w:rsid w:val="00E201E4"/>
    <w:rsid w:val="00E20E79"/>
    <w:rsid w:val="00E20EDF"/>
    <w:rsid w:val="00E37A4A"/>
    <w:rsid w:val="00E75297"/>
    <w:rsid w:val="00EA466D"/>
    <w:rsid w:val="00F02E44"/>
    <w:rsid w:val="00F169C1"/>
    <w:rsid w:val="00F27EE1"/>
    <w:rsid w:val="00F32FFA"/>
    <w:rsid w:val="00F46AF4"/>
    <w:rsid w:val="00F57C57"/>
    <w:rsid w:val="00F6532C"/>
    <w:rsid w:val="00F67794"/>
    <w:rsid w:val="00F95DB9"/>
    <w:rsid w:val="00F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901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9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5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os">
    <w:name w:val="bios"/>
    <w:basedOn w:val="Normal"/>
    <w:rsid w:val="00390666"/>
    <w:pPr>
      <w:spacing w:before="100" w:beforeAutospacing="1" w:after="100" w:afterAutospacing="1" w:line="300" w:lineRule="atLeast"/>
    </w:pPr>
    <w:rPr>
      <w:rFonts w:ascii="Arial" w:eastAsia="Times New Roman" w:hAnsi="Arial" w:cs="Arial"/>
      <w:sz w:val="18"/>
      <w:szCs w:val="18"/>
    </w:rPr>
  </w:style>
  <w:style w:type="paragraph" w:customStyle="1" w:styleId="Default">
    <w:name w:val="Default"/>
    <w:rsid w:val="003229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2531">
    <w:name w:val="SC2531"/>
    <w:uiPriority w:val="99"/>
    <w:rsid w:val="00322918"/>
    <w:rPr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84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ABC"/>
  </w:style>
  <w:style w:type="paragraph" w:styleId="Footer">
    <w:name w:val="footer"/>
    <w:basedOn w:val="Normal"/>
    <w:link w:val="FooterChar"/>
    <w:uiPriority w:val="99"/>
    <w:unhideWhenUsed/>
    <w:rsid w:val="00784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ABC"/>
  </w:style>
  <w:style w:type="paragraph" w:styleId="PlainText">
    <w:name w:val="Plain Text"/>
    <w:basedOn w:val="Normal"/>
    <w:link w:val="PlainTextChar"/>
    <w:uiPriority w:val="99"/>
    <w:unhideWhenUsed/>
    <w:rsid w:val="006432A9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32A9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5F14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einert@aacinstitut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odgers@cppghsou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412-347-0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Meinert</dc:creator>
  <cp:lastModifiedBy>Evelyn Meinert</cp:lastModifiedBy>
  <cp:revision>3</cp:revision>
  <dcterms:created xsi:type="dcterms:W3CDTF">2015-10-01T13:59:00Z</dcterms:created>
  <dcterms:modified xsi:type="dcterms:W3CDTF">2015-10-01T14:03:00Z</dcterms:modified>
</cp:coreProperties>
</file>